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A1A6E"/>
          <w:sz w:val="28"/>
          <w:szCs w:val="28"/>
        </w:rPr>
        <w:t xml:space="preserve">Informe de Operaciones de Pago — Cierre Q3 2024</w:t>
      </w:r>
    </w:p>
    <w:p>
      <w:pPr>
        <w:spacing w:after="120"/>
      </w:pPr>
      <w:r>
        <w:rPr>
          <w:rFonts w:ascii="Arial" w:cs="Arial" w:eastAsia="Arial" w:hAnsi="Arial"/>
          <w:b/>
          <w:bCs/>
          <w:sz w:val="22"/>
          <w:szCs w:val="22"/>
        </w:rPr>
        <w:t xml:space="preserve">Área: </w:t>
      </w:r>
      <w:r>
        <w:rPr>
          <w:rFonts w:ascii="Arial" w:cs="Arial" w:eastAsia="Arial" w:hAnsi="Arial"/>
          <w:sz w:val="22"/>
          <w:szCs w:val="22"/>
        </w:rPr>
        <w:t xml:space="preserve">Technology &amp; Operations Newpay | </w:t>
      </w:r>
      <w:r>
        <w:rPr>
          <w:rFonts w:ascii="Arial" w:cs="Arial" w:eastAsia="Arial" w:hAnsi="Arial"/>
          <w:b/>
          <w:bCs/>
          <w:sz w:val="22"/>
          <w:szCs w:val="22"/>
        </w:rPr>
        <w:t xml:space="preserve">Período: </w:t>
      </w:r>
      <w:r>
        <w:rPr>
          <w:rFonts w:ascii="Arial" w:cs="Arial" w:eastAsia="Arial" w:hAnsi="Arial"/>
          <w:sz w:val="22"/>
          <w:szCs w:val="22"/>
        </w:rPr>
        <w:t xml:space="preserve">Julio – Septiembre 2024</w:t>
      </w:r>
    </w:p>
    <w:p>
      <w:pPr>
        <w:spacing w:after="120"/>
      </w:pPr>
      <w:r>
        <w:rPr>
          <w:rFonts w:ascii="Arial" w:cs="Arial" w:eastAsia="Arial" w:hAnsi="Arial"/>
          <w:b/>
          <w:bCs/>
          <w:sz w:val="22"/>
          <w:szCs w:val="22"/>
        </w:rPr>
        <w:t xml:space="preserve">Distribución: </w:t>
      </w:r>
      <w:r>
        <w:rPr>
          <w:rFonts w:ascii="Arial" w:cs="Arial" w:eastAsia="Arial" w:hAnsi="Arial"/>
          <w:sz w:val="22"/>
          <w:szCs w:val="22"/>
        </w:rPr>
        <w:t xml:space="preserve">Gerencia de Operaciones y Tecnología</w:t>
      </w:r>
    </w:p>
    <w:p>
      <w:pPr>
        <w:spacing w:after="120"/>
      </w:pPr>
      <w:r>
        <w:rPr>
          <w:rFonts w:ascii="Arial" w:cs="Arial" w:eastAsia="Arial" w:hAnsi="Arial"/>
          <w:b/>
          <w:bCs/>
          <w:sz w:val="22"/>
          <w:szCs w:val="22"/>
        </w:rPr>
        <w:t xml:space="preserve">Versión: </w:t>
      </w:r>
      <w:r>
        <w:rPr>
          <w:rFonts w:ascii="Arial" w:cs="Arial" w:eastAsia="Arial" w:hAnsi="Arial"/>
          <w:sz w:val="22"/>
          <w:szCs w:val="22"/>
        </w:rPr>
        <w:t xml:space="preserve">1.0 | </w:t>
      </w:r>
      <w:r>
        <w:rPr>
          <w:rFonts w:ascii="Arial" w:cs="Arial" w:eastAsia="Arial" w:hAnsi="Arial"/>
          <w:b/>
          <w:bCs/>
          <w:sz w:val="22"/>
          <w:szCs w:val="22"/>
        </w:rPr>
        <w:t xml:space="preserve">Fecha: </w:t>
      </w:r>
      <w:r>
        <w:rPr>
          <w:rFonts w:ascii="Arial" w:cs="Arial" w:eastAsia="Arial" w:hAnsi="Arial"/>
          <w:sz w:val="22"/>
          <w:szCs w:val="22"/>
        </w:rPr>
        <w:t xml:space="preserve">8 de octubre de 2024</w:t>
      </w:r>
    </w:p>
    <w:p>
      <w:pPr>
        <w:pBdr>
          <w:bottom w:val="single" w:color="1A1A6E" w:sz="4" w:space="1"/>
        </w:pBdr>
        <w:spacing w:after="160"/>
      </w:pPr>
      <w:r>
        <w:t xml:space="preserve"/>
      </w:r>
    </w:p>
    <w:p>
      <w:pPr>
        <w:pStyle w:val="Heading2"/>
      </w:pPr>
      <w:r>
        <w:rPr>
          <w:rFonts w:ascii="Arial" w:cs="Arial" w:eastAsia="Arial" w:hAnsi="Arial"/>
          <w:b/>
          <w:bCs/>
          <w:color w:val="2C2C7A"/>
          <w:sz w:val="24"/>
          <w:szCs w:val="24"/>
        </w:rPr>
        <w:t xml:space="preserve">1. Resultado Operativo del Trimestre</w:t>
      </w:r>
    </w:p>
    <w:p>
      <w:pPr>
        <w:spacing w:after="120"/>
      </w:pPr>
      <w:r>
        <w:rPr>
          <w:rFonts w:ascii="Arial" w:cs="Arial" w:eastAsia="Arial" w:hAnsi="Arial"/>
          <w:sz w:val="22"/>
          <w:szCs w:val="22"/>
        </w:rPr>
        <w:t xml:space="preserve">El tercer trimestre de 2024 fue el de mayor volumen procesado de la historia de Newpay, con 48,7 millones de transacciones equivalentes a $2.410 millones, representando un crecimiento del 14,2% respecto al Q3 2023 (42,6 millones de transacciones, $2.110 millones). Este resultado supera el presupuesto del trimestre, que proyectaba 46,2 millones de transacciones.</w:t>
      </w:r>
    </w:p>
    <w:p>
      <w:pPr>
        <w:spacing w:after="120"/>
      </w:pPr>
      <w:r>
        <w:rPr>
          <w:rFonts w:ascii="Arial" w:cs="Arial" w:eastAsia="Arial" w:hAnsi="Arial"/>
          <w:sz w:val="22"/>
          <w:szCs w:val="22"/>
        </w:rPr>
        <w:t xml:space="preserve">La tasa de transacciones aprobadas (approval rate) se ubicó en 94,3%, 0,8 puntos porcentuales por encima del Q3 2023 (93,5%) pero 1,4 puntos por debajo del objetivo interno del 95,7%. El análisis de esta brecha se detalla en la sección 4 y es el principal foco de mejora para Q4.</w:t>
      </w:r>
    </w:p>
    <w:p>
      <w:pPr>
        <w:spacing w:after="120"/>
      </w:pPr>
      <w:r>
        <w:rPr>
          <w:rFonts w:ascii="Arial" w:cs="Arial" w:eastAsia="Arial" w:hAnsi="Arial"/>
          <w:sz w:val="22"/>
          <w:szCs w:val="22"/>
        </w:rPr>
        <w:t xml:space="preserve">Se registraron 3 eventos de degradación de servicio, ninguno superó el umbral de incidente mayor (disponibilidad inferior al 95% por más de 2 horas consecutivas). El tiempo total de indisponibilidad o degradación significativa en el trimestre fue de 3,4 horas, distribuidas en los 3 eventos.</w:t>
      </w:r>
    </w:p>
    <w:p>
      <w:pPr>
        <w:spacing w:after="80"/>
      </w:pPr>
      <w:r>
        <w:t xml:space="preserve"/>
      </w:r>
    </w:p>
    <w:p>
      <w:pPr>
        <w:pStyle w:val="Heading2"/>
      </w:pPr>
      <w:r>
        <w:rPr>
          <w:rFonts w:ascii="Arial" w:cs="Arial" w:eastAsia="Arial" w:hAnsi="Arial"/>
          <w:b/>
          <w:bCs/>
          <w:color w:val="2C2C7A"/>
          <w:sz w:val="24"/>
          <w:szCs w:val="24"/>
        </w:rPr>
        <w:t xml:space="preserve">2. Indicadores Clave de Operaciones</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1200"/>
        <w:gridCol w:w="1200"/>
        <w:gridCol w:w="1360"/>
        <w:gridCol w:w="1400"/>
      </w:tblGrid>
      <w:tr>
        <w:trPr>
          <w:tblHeader/>
        </w:trPr>
        <w:tc>
          <w:tcPr>
            <w:tcW w:type="dxa" w:w="26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Indicador</w:t>
            </w:r>
          </w:p>
        </w:tc>
        <w:tc>
          <w:tcPr>
            <w:tcW w:type="dxa" w:w="12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Q3 2024</w:t>
            </w:r>
          </w:p>
        </w:tc>
        <w:tc>
          <w:tcPr>
            <w:tcW w:type="dxa" w:w="12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Q2 2024</w:t>
            </w:r>
          </w:p>
        </w:tc>
        <w:tc>
          <w:tcPr>
            <w:tcW w:type="dxa" w:w="12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Q1 2024</w:t>
            </w:r>
          </w:p>
        </w:tc>
        <w:tc>
          <w:tcPr>
            <w:tcW w:type="dxa" w:w="12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Q3 2023</w:t>
            </w:r>
          </w:p>
        </w:tc>
        <w:tc>
          <w:tcPr>
            <w:tcW w:type="dxa" w:w="136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Var. a/a</w:t>
            </w:r>
          </w:p>
        </w:tc>
        <w:tc>
          <w:tcPr>
            <w:tcW w:type="dxa" w:w="14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SLA / Objetivo</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Transacciones procesadas (M)</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48,7</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44,2</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41,8</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42,6</w:t>
            </w:r>
          </w:p>
        </w:tc>
        <w:tc>
          <w:tcPr>
            <w:tcW w:type="dxa" w:w="1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+14,2%</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w:t>
            </w:r>
          </w:p>
        </w:tc>
      </w:tr>
      <w:tr>
        <w:trPr>
          <w:tblHeader w:val="false"/>
        </w:trPr>
        <w:tc>
          <w:tcPr>
            <w:tcW w:type="dxa" w:w="26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Volumen procesado ($M)</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$2.410</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$2.210</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$2.080</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$2.110</w:t>
            </w:r>
          </w:p>
        </w:tc>
        <w:tc>
          <w:tcPr>
            <w:tcW w:type="dxa" w:w="136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+14,2%</w:t>
            </w:r>
          </w:p>
        </w:tc>
        <w:tc>
          <w:tcPr>
            <w:tcW w:type="dxa" w:w="1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Approval rate</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94,3%</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93,8%</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93,2%</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93,5%</w:t>
            </w:r>
          </w:p>
        </w:tc>
        <w:tc>
          <w:tcPr>
            <w:tcW w:type="dxa" w:w="1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+0,8 pp</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Obj: 95,7%</w:t>
            </w:r>
          </w:p>
        </w:tc>
      </w:tr>
      <w:tr>
        <w:trPr>
          <w:tblHeader w:val="false"/>
        </w:trPr>
        <w:tc>
          <w:tcPr>
            <w:tcW w:type="dxa" w:w="26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Tasa de error técnico</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0,12%</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0,18%</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0,24%</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0,22%</w:t>
            </w:r>
          </w:p>
        </w:tc>
        <w:tc>
          <w:tcPr>
            <w:tcW w:type="dxa" w:w="136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-0,10 pp</w:t>
            </w:r>
          </w:p>
        </w:tc>
        <w:tc>
          <w:tcPr>
            <w:tcW w:type="dxa" w:w="1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SLA: &lt;0,20%</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Disponibilidad del servicio</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99,78%</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99,91%</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99,62%</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99,61%</w:t>
            </w:r>
          </w:p>
        </w:tc>
        <w:tc>
          <w:tcPr>
            <w:tcW w:type="dxa" w:w="1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+0,17 pp</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SLA: &gt;99,5%</w:t>
            </w:r>
          </w:p>
        </w:tc>
      </w:tr>
      <w:tr>
        <w:trPr>
          <w:tblHeader w:val="false"/>
        </w:trPr>
        <w:tc>
          <w:tcPr>
            <w:tcW w:type="dxa" w:w="26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Tiempo respuesta promedio (ms)</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142</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156</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178</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189</w:t>
            </w:r>
          </w:p>
        </w:tc>
        <w:tc>
          <w:tcPr>
            <w:tcW w:type="dxa" w:w="136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-47 ms</w:t>
            </w:r>
          </w:p>
        </w:tc>
        <w:tc>
          <w:tcPr>
            <w:tcW w:type="dxa" w:w="1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Obj: &lt;200 ms</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Tiempo resp. percentil 95 (ms)</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312</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388</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441</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512</w:t>
            </w:r>
          </w:p>
        </w:tc>
        <w:tc>
          <w:tcPr>
            <w:tcW w:type="dxa" w:w="1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-200 ms</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w:t>
            </w:r>
          </w:p>
        </w:tc>
      </w:tr>
      <w:tr>
        <w:trPr>
          <w:tblHeader w:val="false"/>
        </w:trPr>
        <w:tc>
          <w:tcPr>
            <w:tcW w:type="dxa" w:w="26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Chargeback rate</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0,08%</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0,09%</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0,10%</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0,11%</w:t>
            </w:r>
          </w:p>
        </w:tc>
        <w:tc>
          <w:tcPr>
            <w:tcW w:type="dxa" w:w="136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-0,03 pp</w:t>
            </w:r>
          </w:p>
        </w:tc>
        <w:tc>
          <w:tcPr>
            <w:tcW w:type="dxa" w:w="1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SLA: &lt;0,15%</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Transacciones sin contacto (%)</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38%</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34%</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31%</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24%</w:t>
            </w:r>
          </w:p>
        </w:tc>
        <w:tc>
          <w:tcPr>
            <w:tcW w:type="dxa" w:w="1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+14 pp</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w:t>
            </w:r>
          </w:p>
        </w:tc>
      </w:tr>
    </w:tbl>
    <w:p>
      <w:pPr>
        <w:spacing w:after="80"/>
      </w:pPr>
      <w:r>
        <w:t xml:space="preserve"/>
      </w:r>
    </w:p>
    <w:p>
      <w:pPr>
        <w:spacing w:after="120"/>
      </w:pPr>
      <w:r>
        <w:rPr>
          <w:rFonts w:ascii="Arial" w:cs="Arial" w:eastAsia="Arial" w:hAnsi="Arial"/>
          <w:sz w:val="22"/>
          <w:szCs w:val="22"/>
        </w:rPr>
        <w:t xml:space="preserve">El indicador de tiempo de respuesta en el percentil 95 (p95) es especialmente relevante para la experiencia de los comercios: pasó de 512 ms en Q3 2023 a 312 ms en Q3 2024, una mejora del 39% que es directamente atribuible a la implementación de la caché Redis en agosto y a la optimización de queries de base de datos realizada en junio.</w:t>
      </w:r>
    </w:p>
    <w:p>
      <w:pPr>
        <w:spacing w:after="80"/>
      </w:pPr>
      <w:r>
        <w:t xml:space="preserve"/>
      </w:r>
    </w:p>
    <w:p>
      <w:pPr>
        <w:pStyle w:val="Heading2"/>
      </w:pPr>
      <w:r>
        <w:rPr>
          <w:rFonts w:ascii="Arial" w:cs="Arial" w:eastAsia="Arial" w:hAnsi="Arial"/>
          <w:b/>
          <w:bCs/>
          <w:color w:val="2C2C7A"/>
          <w:sz w:val="24"/>
          <w:szCs w:val="24"/>
        </w:rPr>
        <w:t xml:space="preserve">3. Evolución del Volumen — Serie Anual</w:t>
      </w:r>
    </w:p>
    <w:p>
      <w:pPr>
        <w:spacing w:after="120"/>
      </w:pPr>
      <w:r>
        <w:rPr>
          <w:rFonts w:ascii="Arial" w:cs="Arial" w:eastAsia="Arial" w:hAnsi="Arial"/>
          <w:sz w:val="22"/>
          <w:szCs w:val="22"/>
        </w:rPr>
        <w:t xml:space="preserve">El análisis de la serie interanual muestra una aceleración del crecimiento en 2024 respecto a 2023, con tasas trimestrales superiores al 14% en los últimos dos trimestres. Esta aceleración está siendo absorbida por la infraestructura dentro de los parámetros operativos, pero está presionando los límites de capacidad que se detallan en la sección 6.</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600"/>
        <w:gridCol w:w="1400"/>
        <w:gridCol w:w="1400"/>
        <w:gridCol w:w="1800"/>
      </w:tblGrid>
      <w:tr>
        <w:trPr>
          <w:tblHeader/>
        </w:trPr>
        <w:tc>
          <w:tcPr>
            <w:tcW w:type="dxa" w:w="18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Trimestre</w:t>
            </w:r>
          </w:p>
        </w:tc>
        <w:tc>
          <w:tcPr>
            <w:tcW w:type="dxa" w:w="18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Transacciones (M)</w:t>
            </w:r>
          </w:p>
        </w:tc>
        <w:tc>
          <w:tcPr>
            <w:tcW w:type="dxa" w:w="16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Volumen ($M)</w:t>
            </w:r>
          </w:p>
        </w:tc>
        <w:tc>
          <w:tcPr>
            <w:tcW w:type="dxa" w:w="14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Crec. t/t</w:t>
            </w:r>
          </w:p>
        </w:tc>
        <w:tc>
          <w:tcPr>
            <w:tcW w:type="dxa" w:w="14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Crec. a/a</w:t>
            </w:r>
          </w:p>
        </w:tc>
        <w:tc>
          <w:tcPr>
            <w:tcW w:type="dxa" w:w="18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Approval rate</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Q1 2023</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38,2</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$1.880</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+8,1%</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92,8%</w:t>
            </w:r>
          </w:p>
        </w:tc>
      </w:tr>
      <w:tr>
        <w:trPr>
          <w:tblHeader w:val="false"/>
        </w:trPr>
        <w:tc>
          <w:tcPr>
            <w:tcW w:type="dxa" w:w="18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Q2 2023</w:t>
            </w:r>
          </w:p>
        </w:tc>
        <w:tc>
          <w:tcPr>
            <w:tcW w:type="dxa" w:w="18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40,1</w:t>
            </w:r>
          </w:p>
        </w:tc>
        <w:tc>
          <w:tcPr>
            <w:tcW w:type="dxa" w:w="16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$1.980</w:t>
            </w:r>
          </w:p>
        </w:tc>
        <w:tc>
          <w:tcPr>
            <w:tcW w:type="dxa" w:w="1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+4,9%</w:t>
            </w:r>
          </w:p>
        </w:tc>
        <w:tc>
          <w:tcPr>
            <w:tcW w:type="dxa" w:w="1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+9,4%</w:t>
            </w:r>
          </w:p>
        </w:tc>
        <w:tc>
          <w:tcPr>
            <w:tcW w:type="dxa" w:w="18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93,2%</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Q3 2023</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42,6</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$2.110</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+6,2%</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+10,3%</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93,5%</w:t>
            </w:r>
          </w:p>
        </w:tc>
      </w:tr>
      <w:tr>
        <w:trPr>
          <w:tblHeader w:val="false"/>
        </w:trPr>
        <w:tc>
          <w:tcPr>
            <w:tcW w:type="dxa" w:w="18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Q4 2023</w:t>
            </w:r>
          </w:p>
        </w:tc>
        <w:tc>
          <w:tcPr>
            <w:tcW w:type="dxa" w:w="18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45,1</w:t>
            </w:r>
          </w:p>
        </w:tc>
        <w:tc>
          <w:tcPr>
            <w:tcW w:type="dxa" w:w="16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$2.240</w:t>
            </w:r>
          </w:p>
        </w:tc>
        <w:tc>
          <w:tcPr>
            <w:tcW w:type="dxa" w:w="1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+5,9%</w:t>
            </w:r>
          </w:p>
        </w:tc>
        <w:tc>
          <w:tcPr>
            <w:tcW w:type="dxa" w:w="1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+11,2%</w:t>
            </w:r>
          </w:p>
        </w:tc>
        <w:tc>
          <w:tcPr>
            <w:tcW w:type="dxa" w:w="18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93,7%</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Q1 2024</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41,8</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$2.080</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-7,3%</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+9,4%</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93,2%</w:t>
            </w:r>
          </w:p>
        </w:tc>
      </w:tr>
      <w:tr>
        <w:trPr>
          <w:tblHeader w:val="false"/>
        </w:trPr>
        <w:tc>
          <w:tcPr>
            <w:tcW w:type="dxa" w:w="18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Q2 2024</w:t>
            </w:r>
          </w:p>
        </w:tc>
        <w:tc>
          <w:tcPr>
            <w:tcW w:type="dxa" w:w="18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44,2</w:t>
            </w:r>
          </w:p>
        </w:tc>
        <w:tc>
          <w:tcPr>
            <w:tcW w:type="dxa" w:w="16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$2.210</w:t>
            </w:r>
          </w:p>
        </w:tc>
        <w:tc>
          <w:tcPr>
            <w:tcW w:type="dxa" w:w="1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+5,7%</w:t>
            </w:r>
          </w:p>
        </w:tc>
        <w:tc>
          <w:tcPr>
            <w:tcW w:type="dxa" w:w="1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+10,2%</w:t>
            </w:r>
          </w:p>
        </w:tc>
        <w:tc>
          <w:tcPr>
            <w:tcW w:type="dxa" w:w="18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93,8%</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Q3 2024</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48,7</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$2.410</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+10,2%</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+14,2%</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94,3%</w:t>
            </w:r>
          </w:p>
        </w:tc>
      </w:tr>
    </w:tbl>
    <w:p>
      <w:pPr>
        <w:spacing w:after="80"/>
      </w:pPr>
      <w:r>
        <w:t xml:space="preserve"/>
      </w:r>
    </w:p>
    <w:p>
      <w:pPr>
        <w:pStyle w:val="Heading2"/>
      </w:pPr>
      <w:r>
        <w:rPr>
          <w:rFonts w:ascii="Arial" w:cs="Arial" w:eastAsia="Arial" w:hAnsi="Arial"/>
          <w:b/>
          <w:bCs/>
          <w:color w:val="2C2C7A"/>
          <w:sz w:val="24"/>
          <w:szCs w:val="24"/>
        </w:rPr>
        <w:t xml:space="preserve">4. Análisis de Approval Rate</w:t>
      </w:r>
    </w:p>
    <w:p>
      <w:pPr>
        <w:spacing w:after="120"/>
      </w:pPr>
      <w:r>
        <w:rPr>
          <w:rFonts w:ascii="Arial" w:cs="Arial" w:eastAsia="Arial" w:hAnsi="Arial"/>
          <w:sz w:val="22"/>
          <w:szCs w:val="22"/>
        </w:rPr>
        <w:t xml:space="preserve">El approval rate de 94,3% supera el SLA pero se encuentra 1,4 puntos porcentuales por debajo del objetivo interno de 95,7%. Dado que cada punto porcentual de mejora en el approval rate equivale a aproximadamente $24 millones en volumen procesado adicional al trimestre (basado en el volumen actual), este indicador tiene impacto económico directo.</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400"/>
        <w:gridCol w:w="1800"/>
        <w:gridCol w:w="1360"/>
      </w:tblGrid>
      <w:tr>
        <w:trPr>
          <w:tblHeader/>
        </w:trPr>
        <w:tc>
          <w:tcPr>
            <w:tcW w:type="dxa" w:w="24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Motivo de rechazo</w:t>
            </w:r>
          </w:p>
        </w:tc>
        <w:tc>
          <w:tcPr>
            <w:tcW w:type="dxa" w:w="14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Q3 2024</w:t>
            </w:r>
          </w:p>
        </w:tc>
        <w:tc>
          <w:tcPr>
            <w:tcW w:type="dxa" w:w="14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Q2 2024</w:t>
            </w:r>
          </w:p>
        </w:tc>
        <w:tc>
          <w:tcPr>
            <w:tcW w:type="dxa" w:w="14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Variación</w:t>
            </w:r>
          </w:p>
        </w:tc>
        <w:tc>
          <w:tcPr>
            <w:tcW w:type="dxa" w:w="18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 del total rechazos</w:t>
            </w:r>
          </w:p>
        </w:tc>
        <w:tc>
          <w:tcPr>
            <w:tcW w:type="dxa" w:w="136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Accionable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Fondos insuficientes</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38%</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40%</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-2 pp</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38%</w:t>
            </w:r>
          </w:p>
        </w:tc>
        <w:tc>
          <w:tcPr>
            <w:tcW w:type="dxa" w:w="1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No (del portador)</w:t>
            </w:r>
          </w:p>
        </w:tc>
      </w:tr>
      <w:tr>
        <w:trPr>
          <w:tblHeader w:val="false"/>
        </w:trPr>
        <w:tc>
          <w:tcPr>
            <w:tcW w:type="dxa" w:w="2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Fraude (motor de reglas)</w:t>
            </w:r>
          </w:p>
        </w:tc>
        <w:tc>
          <w:tcPr>
            <w:tcW w:type="dxa" w:w="1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29%</w:t>
            </w:r>
          </w:p>
        </w:tc>
        <w:tc>
          <w:tcPr>
            <w:tcW w:type="dxa" w:w="1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21%</w:t>
            </w:r>
          </w:p>
        </w:tc>
        <w:tc>
          <w:tcPr>
            <w:tcW w:type="dxa" w:w="1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+8 pp</w:t>
            </w:r>
          </w:p>
        </w:tc>
        <w:tc>
          <w:tcPr>
            <w:tcW w:type="dxa" w:w="18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29%</w:t>
            </w:r>
          </w:p>
        </w:tc>
        <w:tc>
          <w:tcPr>
            <w:tcW w:type="dxa" w:w="136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Parcialmente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Límite de crédito excedido</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18%</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19%</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-1 pp</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18%</w:t>
            </w:r>
          </w:p>
        </w:tc>
        <w:tc>
          <w:tcPr>
            <w:tcW w:type="dxa" w:w="1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No (del emisor)</w:t>
            </w:r>
          </w:p>
        </w:tc>
      </w:tr>
      <w:tr>
        <w:trPr>
          <w:tblHeader w:val="false"/>
        </w:trPr>
        <w:tc>
          <w:tcPr>
            <w:tcW w:type="dxa" w:w="2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Error técnico</w:t>
            </w:r>
          </w:p>
        </w:tc>
        <w:tc>
          <w:tcPr>
            <w:tcW w:type="dxa" w:w="1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0,12%</w:t>
            </w:r>
          </w:p>
        </w:tc>
        <w:tc>
          <w:tcPr>
            <w:tcW w:type="dxa" w:w="1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0,18%</w:t>
            </w:r>
          </w:p>
        </w:tc>
        <w:tc>
          <w:tcPr>
            <w:tcW w:type="dxa" w:w="1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-0,06 pp</w:t>
            </w:r>
          </w:p>
        </w:tc>
        <w:tc>
          <w:tcPr>
            <w:tcW w:type="dxa" w:w="18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~0,1%</w:t>
            </w:r>
          </w:p>
        </w:tc>
        <w:tc>
          <w:tcPr>
            <w:tcW w:type="dxa" w:w="136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Sí</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Datos inválidos o expirados</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9%</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11%</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-2 pp</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9%</w:t>
            </w:r>
          </w:p>
        </w:tc>
        <w:tc>
          <w:tcPr>
            <w:tcW w:type="dxa" w:w="1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Parcialmente</w:t>
            </w:r>
          </w:p>
        </w:tc>
      </w:tr>
      <w:tr>
        <w:trPr>
          <w:tblHeader w:val="false"/>
        </w:trPr>
        <w:tc>
          <w:tcPr>
            <w:tcW w:type="dxa" w:w="2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Otros</w:t>
            </w:r>
          </w:p>
        </w:tc>
        <w:tc>
          <w:tcPr>
            <w:tcW w:type="dxa" w:w="1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5,88%</w:t>
            </w:r>
          </w:p>
        </w:tc>
        <w:tc>
          <w:tcPr>
            <w:tcW w:type="dxa" w:w="1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8,82%</w:t>
            </w:r>
          </w:p>
        </w:tc>
        <w:tc>
          <w:tcPr>
            <w:tcW w:type="dxa" w:w="1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-2,94 pp</w:t>
            </w:r>
          </w:p>
        </w:tc>
        <w:tc>
          <w:tcPr>
            <w:tcW w:type="dxa" w:w="18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5,9%</w:t>
            </w:r>
          </w:p>
        </w:tc>
        <w:tc>
          <w:tcPr>
            <w:tcW w:type="dxa" w:w="136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Variable</w:t>
            </w:r>
          </w:p>
        </w:tc>
      </w:tr>
    </w:tbl>
    <w:p>
      <w:pPr>
        <w:spacing w:after="80"/>
      </w:pPr>
      <w:r>
        <w:t xml:space="preserve"/>
      </w:r>
    </w:p>
    <w:p>
      <w:pPr>
        <w:spacing w:after="120"/>
      </w:pPr>
      <w:r>
        <w:rPr>
          <w:rFonts w:ascii="Arial" w:cs="Arial" w:eastAsia="Arial" w:hAnsi="Arial"/>
          <w:sz w:val="22"/>
          <w:szCs w:val="22"/>
        </w:rPr>
        <w:t xml:space="preserve">El rechazo por 'Fraude (motor de reglas)' pasó del 21% al 29% del total de rechazos, un incremento de 8 puntos porcentuales que se atribuye a las nuevas reglas implementadas en julio con umbrales conservadores para reducir el fraude en el segmento retail. El efecto no deseado fue un aumento en los falsos positivos: transacciones legítimas rechazadas por el motor de reglas. Se estima que entre el 40% y el 55% de los rechazos por fraude en Q3 fueron falsos positivos.</w:t>
      </w:r>
    </w:p>
    <w:p>
      <w:pPr>
        <w:spacing w:after="120"/>
      </w:pPr>
      <w:r>
        <w:rPr>
          <w:rFonts w:ascii="Arial" w:cs="Arial" w:eastAsia="Arial" w:hAnsi="Arial"/>
          <w:sz w:val="22"/>
          <w:szCs w:val="22"/>
        </w:rPr>
        <w:t xml:space="preserve">Una revisión de los umbrales de las 3 reglas nuevas con mayor impacto (reglas NR-07, NR-09 y NR-11) podría recuperar entre 0,6 y 0,8 puntos porcentuales de approval rate sin incrementar materialmente el fraude real. Esta revisión es la recomendación prioritaria para Q4.</w:t>
      </w:r>
    </w:p>
    <w:p>
      <w:pPr>
        <w:spacing w:after="80"/>
      </w:pPr>
      <w:r>
        <w:t xml:space="preserve"/>
      </w:r>
    </w:p>
    <w:p>
      <w:pPr>
        <w:pStyle w:val="Heading2"/>
      </w:pPr>
      <w:r>
        <w:rPr>
          <w:rFonts w:ascii="Arial" w:cs="Arial" w:eastAsia="Arial" w:hAnsi="Arial"/>
          <w:b/>
          <w:bCs/>
          <w:color w:val="2C2C7A"/>
          <w:sz w:val="24"/>
          <w:szCs w:val="24"/>
        </w:rPr>
        <w:t xml:space="preserve">5. Análisis de Chargebacks</w:t>
      </w:r>
    </w:p>
    <w:p>
      <w:pPr>
        <w:spacing w:after="120"/>
      </w:pPr>
      <w:r>
        <w:rPr>
          <w:rFonts w:ascii="Arial" w:cs="Arial" w:eastAsia="Arial" w:hAnsi="Arial"/>
          <w:sz w:val="22"/>
          <w:szCs w:val="22"/>
        </w:rPr>
        <w:t xml:space="preserve">El chargeback rate de 0,08% es el más bajo de la historia de Newpay y se mantiene muy por debajo del límite de Visa/Mastercard (0,90%). El análisis por motivo es relevante para entender la composición del indicador:</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200"/>
        <w:gridCol w:w="2160"/>
      </w:tblGrid>
      <w:tr>
        <w:trPr>
          <w:tblHeader/>
        </w:trPr>
        <w:tc>
          <w:tcPr>
            <w:tcW w:type="dxa" w:w="28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Motivo del chargeback</w:t>
            </w:r>
          </w:p>
        </w:tc>
        <w:tc>
          <w:tcPr>
            <w:tcW w:type="dxa" w:w="12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Q3 2024</w:t>
            </w:r>
          </w:p>
        </w:tc>
        <w:tc>
          <w:tcPr>
            <w:tcW w:type="dxa" w:w="12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Q2 2024</w:t>
            </w:r>
          </w:p>
        </w:tc>
        <w:tc>
          <w:tcPr>
            <w:tcW w:type="dxa" w:w="12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Var.</w:t>
            </w:r>
          </w:p>
        </w:tc>
        <w:tc>
          <w:tcPr>
            <w:tcW w:type="dxa" w:w="216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Impacto ($)</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Transacción no reconocida por portador</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48%</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51%</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-3 pp</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$92.300</w:t>
            </w:r>
          </w:p>
        </w:tc>
      </w:tr>
      <w:tr>
        <w:trPr>
          <w:tblHeader w:val="false"/>
        </w:trPr>
        <w:tc>
          <w:tcPr>
            <w:tcW w:type="dxa" w:w="28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Mercadería no recibida (e-commerce)</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22%</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19%</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+3 pp</w:t>
            </w:r>
          </w:p>
        </w:tc>
        <w:tc>
          <w:tcPr>
            <w:tcW w:type="dxa" w:w="216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$42.300</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Fraude confirmado</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18%</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21%</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-3 pp</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$34.600</w:t>
            </w:r>
          </w:p>
        </w:tc>
      </w:tr>
      <w:tr>
        <w:trPr>
          <w:tblHeader w:val="false"/>
        </w:trPr>
        <w:tc>
          <w:tcPr>
            <w:tcW w:type="dxa" w:w="28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Error de procesamiento</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8%</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6%</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+2 pp</w:t>
            </w:r>
          </w:p>
        </w:tc>
        <w:tc>
          <w:tcPr>
            <w:tcW w:type="dxa" w:w="216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$15.400</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Otros</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4%</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+1 pp</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$7.700</w:t>
            </w:r>
          </w:p>
        </w:tc>
      </w:tr>
      <w:tr>
        <w:trPr>
          <w:tblHeader w:val="false"/>
        </w:trPr>
        <w:tc>
          <w:tcPr>
            <w:tcW w:type="dxa" w:w="28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TOTAL</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100%</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100%</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w:t>
            </w:r>
          </w:p>
        </w:tc>
        <w:tc>
          <w:tcPr>
            <w:tcW w:type="dxa" w:w="216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$192.300</w:t>
            </w:r>
          </w:p>
        </w:tc>
      </w:tr>
    </w:tbl>
    <w:p>
      <w:pPr>
        <w:spacing w:after="80"/>
      </w:pPr>
      <w:r>
        <w:t xml:space="preserve"/>
      </w:r>
    </w:p>
    <w:p>
      <w:pPr>
        <w:spacing w:after="120"/>
      </w:pPr>
      <w:r>
        <w:rPr>
          <w:rFonts w:ascii="Arial" w:cs="Arial" w:eastAsia="Arial" w:hAnsi="Arial"/>
          <w:sz w:val="22"/>
          <w:szCs w:val="22"/>
        </w:rPr>
        <w:t xml:space="preserve">El incremento en chargebacks por 'Mercadería no recibida en e-commerce' (+3 pp) está correlacionado con el crecimiento del 28% en transacciones de e-commerce del período. Es un indicador que requiere seguimiento pero no acción inmediata dado que el chargeback rate total está en mínimos históricos.</w:t>
      </w:r>
    </w:p>
    <w:p>
      <w:pPr>
        <w:spacing w:after="80"/>
      </w:pPr>
      <w:r>
        <w:t xml:space="preserve"/>
      </w:r>
    </w:p>
    <w:p>
      <w:pPr>
        <w:pStyle w:val="Heading2"/>
      </w:pPr>
      <w:r>
        <w:rPr>
          <w:rFonts w:ascii="Arial" w:cs="Arial" w:eastAsia="Arial" w:hAnsi="Arial"/>
          <w:b/>
          <w:bCs/>
          <w:color w:val="2C2C7A"/>
          <w:sz w:val="24"/>
          <w:szCs w:val="24"/>
        </w:rPr>
        <w:t xml:space="preserve">6. Incidentes Operativos — Análisis Detallado</w:t>
      </w:r>
    </w:p>
    <w:p>
      <w:pPr>
        <w:spacing w:after="120"/>
      </w:pPr>
      <w:r>
        <w:rPr>
          <w:rFonts w:ascii="Arial" w:cs="Arial" w:eastAsia="Arial" w:hAnsi="Arial"/>
          <w:b/>
          <w:bCs/>
          <w:sz w:val="22"/>
          <w:szCs w:val="22"/>
        </w:rPr>
        <w:t xml:space="preserve">OP-Q3-014 — Degradación del procesamiento de tarjetas de crédito (4 de agosto, 1,2 horas): </w:t>
      </w:r>
      <w:r>
        <w:rPr>
          <w:rFonts w:ascii="Arial" w:cs="Arial" w:eastAsia="Arial" w:hAnsi="Arial"/>
          <w:sz w:val="22"/>
          <w:szCs w:val="22"/>
        </w:rPr>
        <w:t xml:space="preserve">A las 16:38 hs se comenzaron a registrar timeouts en las llamadas al switch externo de procesamiento. En 14 minutos el sistema de monitoreo generó la alerta. El análisis reveló que el timeout configurado en el servicio de integración (8 segundos) era menor que el timeout real del switch externo en condiciones de alta carga (que en ese momento alcanzaba 11-13 segundos por el volumen de fin de día hábil). Se ajustó el timeout del servicio a 18 segundos y se implementó un mecanismo de retry con backoff exponencial. Impacto: 14.200 transacciones rechazadas técnicamente; los comercios afectados recibieron comunicación automática dentro de los 30 minutos del incidente.</w:t>
      </w:r>
    </w:p>
    <w:p>
      <w:pPr>
        <w:spacing w:after="80"/>
      </w:pPr>
      <w:r>
        <w:t xml:space="preserve"/>
      </w:r>
    </w:p>
    <w:p>
      <w:pPr>
        <w:spacing w:after="120"/>
      </w:pPr>
      <w:r>
        <w:rPr>
          <w:rFonts w:ascii="Arial" w:cs="Arial" w:eastAsia="Arial" w:hAnsi="Arial"/>
          <w:b/>
          <w:bCs/>
          <w:sz w:val="22"/>
          <w:szCs w:val="22"/>
        </w:rPr>
        <w:t xml:space="preserve">OP-Q3-021 — Caída de integración con emisor (18 de agosto, 0,8 horas): </w:t>
      </w:r>
      <w:r>
        <w:rPr>
          <w:rFonts w:ascii="Arial" w:cs="Arial" w:eastAsia="Arial" w:hAnsi="Arial"/>
          <w:sz w:val="22"/>
          <w:szCs w:val="22"/>
        </w:rPr>
        <w:t xml:space="preserve">A las 09:12 hs se detectó la caída de la integración con uno de los emisores, que afectó el procesamiento de las tarjetas de ese emisor. La causa fue el vencimiento del certificado SSL del lado del emisor: venció a las 00:00 hs del día 18 y no fue renovado. El monitoreo de Newpay tardó 2 horas 12 minutos en detectar la caída (la alerta automática estaba configurada para activarse solo si la tasa de error superaba el 15% en una ventana de 5 minutos, umbral que no se alcanzó por el bajo volumen de primera hora del día). Post-incidente se implementó un sistema de monitoreo de vencimiento de certificados SSL de todos los emisores e integraciones externas, con alertas a 60, 30 y 7 días del vencimiento. Se detectaron 4 certificados adicionales con vencimiento en los próximos 90 días que fueron renovados preventivamente.</w:t>
      </w:r>
    </w:p>
    <w:p>
      <w:pPr>
        <w:spacing w:after="80"/>
      </w:pPr>
      <w:r>
        <w:t xml:space="preserve"/>
      </w:r>
    </w:p>
    <w:p>
      <w:pPr>
        <w:spacing w:after="120"/>
      </w:pPr>
      <w:r>
        <w:rPr>
          <w:rFonts w:ascii="Arial" w:cs="Arial" w:eastAsia="Arial" w:hAnsi="Arial"/>
          <w:b/>
          <w:bCs/>
          <w:sz w:val="22"/>
          <w:szCs w:val="22"/>
        </w:rPr>
        <w:t xml:space="preserve">OP-Q3-033 — Latencia elevada en autorizaciones en línea (7 de septiembre, 0,4 horas): </w:t>
      </w:r>
      <w:r>
        <w:rPr>
          <w:rFonts w:ascii="Arial" w:cs="Arial" w:eastAsia="Arial" w:hAnsi="Arial"/>
          <w:sz w:val="22"/>
          <w:szCs w:val="22"/>
        </w:rPr>
        <w:t xml:space="preserve">A las 14:08 hs el tiempo de respuesta promedio de las autorizaciones se disparó de 142 ms a 890 ms. El sistema de auto-scaling identificó la saturación de la instancia del servicio de autorizaciones y lanzó una nueva instancia en 24 minutos, restaurando los tiempos de respuesta normales. No se registraron rechazos técnicos, solo latencia degradada. El análisis post-incidente reveló que la configuración del auto-scaling tenía un tiempo de cooldown de 15 minutos entre evaluaciones, que demora la respuesta ante picos abruptos. El cooldown se redujo a 5 minutos.</w:t>
      </w:r>
    </w:p>
    <w:p>
      <w:pPr>
        <w:spacing w:after="80"/>
      </w:pPr>
      <w:r>
        <w:t xml:space="preserve"/>
      </w:r>
    </w:p>
    <w:p>
      <w:pPr>
        <w:pStyle w:val="Heading2"/>
      </w:pPr>
      <w:r>
        <w:rPr>
          <w:rFonts w:ascii="Arial" w:cs="Arial" w:eastAsia="Arial" w:hAnsi="Arial"/>
          <w:b/>
          <w:bCs/>
          <w:color w:val="2C2C7A"/>
          <w:sz w:val="24"/>
          <w:szCs w:val="24"/>
        </w:rPr>
        <w:t xml:space="preserve">7. Plan de Capacidad para Q4</w:t>
      </w:r>
    </w:p>
    <w:p>
      <w:pPr>
        <w:spacing w:after="120"/>
      </w:pPr>
      <w:r>
        <w:rPr>
          <w:rFonts w:ascii="Arial" w:cs="Arial" w:eastAsia="Arial" w:hAnsi="Arial"/>
          <w:sz w:val="22"/>
          <w:szCs w:val="22"/>
        </w:rPr>
        <w:t xml:space="preserve">El crecimiento del 14,2% interanual en volumen, combinado con el incremento estacional esperado en noviembre-diciembre (históricamente un 18-22% por encima del promedio trimestral), proyecta un volumen de Q4 de entre 55 y 58 millones de transacciones. Este escenario requiere ajustes preventivos en la configuración de la infraestructura de procesamiento.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000"/>
        <w:gridCol w:w="1560"/>
        <w:gridCol w:w="1600"/>
      </w:tblGrid>
      <w:tr>
        <w:trPr>
          <w:tblHeader/>
        </w:trPr>
        <w:tc>
          <w:tcPr>
            <w:tcW w:type="dxa" w:w="24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Componente</w:t>
            </w:r>
          </w:p>
        </w:tc>
        <w:tc>
          <w:tcPr>
            <w:tcW w:type="dxa" w:w="18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Capacidad actual</w:t>
            </w:r>
          </w:p>
        </w:tc>
        <w:tc>
          <w:tcPr>
            <w:tcW w:type="dxa" w:w="20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Demanda proyectada Q4</w:t>
            </w:r>
          </w:p>
        </w:tc>
        <w:tc>
          <w:tcPr>
            <w:tcW w:type="dxa" w:w="156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Margen disponible</w:t>
            </w:r>
          </w:p>
        </w:tc>
        <w:tc>
          <w:tcPr>
            <w:tcW w:type="dxa" w:w="16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Acción preventiva</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Pool de conexiones API</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120 conexiones</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110-130 conexiones</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-10 a +10</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Implementar PgBouncer (nov)</w:t>
            </w:r>
          </w:p>
        </w:tc>
      </w:tr>
      <w:tr>
        <w:trPr>
          <w:tblHeader w:val="false"/>
        </w:trPr>
        <w:tc>
          <w:tcPr>
            <w:tcW w:type="dxa" w:w="2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Auto-scaling cooldown</w:t>
            </w:r>
          </w:p>
        </w:tc>
        <w:tc>
          <w:tcPr>
            <w:tcW w:type="dxa" w:w="18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5 min (ajustado)</w:t>
            </w:r>
          </w:p>
        </w:tc>
        <w:tc>
          <w:tcPr>
            <w:tcW w:type="dxa" w:w="20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OK</w:t>
            </w:r>
          </w:p>
        </w:tc>
        <w:tc>
          <w:tcPr>
            <w:tcW w:type="dxa" w:w="156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Suficiente</w:t>
            </w:r>
          </w:p>
        </w:tc>
        <w:tc>
          <w:tcPr>
            <w:tcW w:type="dxa" w:w="16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Timeout switch externo</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18 s (ajustado)</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OK</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Suficiente</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w:t>
            </w:r>
          </w:p>
        </w:tc>
      </w:tr>
      <w:tr>
        <w:trPr>
          <w:tblHeader w:val="false"/>
        </w:trPr>
        <w:tc>
          <w:tcPr>
            <w:tcW w:type="dxa" w:w="2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Instancias de procesamiento</w:t>
            </w:r>
          </w:p>
        </w:tc>
        <w:tc>
          <w:tcPr>
            <w:tcW w:type="dxa" w:w="18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3 base + auto-scaling</w:t>
            </w:r>
          </w:p>
        </w:tc>
        <w:tc>
          <w:tcPr>
            <w:tcW w:type="dxa" w:w="20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4-5 en pico</w:t>
            </w:r>
          </w:p>
        </w:tc>
        <w:tc>
          <w:tcPr>
            <w:tcW w:type="dxa" w:w="156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OK</w:t>
            </w:r>
          </w:p>
        </w:tc>
        <w:tc>
          <w:tcPr>
            <w:tcW w:type="dxa" w:w="16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Revisar límite máximo de scaling</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Monitoreo certificados SSL</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Sistema implementado</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OK</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Suficiente</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w:t>
            </w:r>
          </w:p>
        </w:tc>
      </w:tr>
    </w:tbl>
    <w:p>
      <w:pPr>
        <w:spacing w:after="80"/>
      </w:pPr>
      <w:r>
        <w:t xml:space="preserve"/>
      </w:r>
    </w:p>
    <w:p>
      <w:pPr>
        <w:pStyle w:val="Heading2"/>
      </w:pPr>
      <w:r>
        <w:rPr>
          <w:rFonts w:ascii="Arial" w:cs="Arial" w:eastAsia="Arial" w:hAnsi="Arial"/>
          <w:b/>
          <w:bCs/>
          <w:color w:val="2C2C7A"/>
          <w:sz w:val="24"/>
          <w:szCs w:val="24"/>
        </w:rPr>
        <w:t xml:space="preserve">8. Recomendaciones para Q4</w:t>
      </w:r>
    </w:p>
    <w:p>
      <w:pPr>
        <w:spacing w:after="120"/>
      </w:pPr>
      <w:r>
        <w:rPr>
          <w:rFonts w:ascii="Arial" w:cs="Arial" w:eastAsia="Arial" w:hAnsi="Arial"/>
          <w:b/>
          <w:bCs/>
          <w:sz w:val="22"/>
          <w:szCs w:val="22"/>
        </w:rPr>
        <w:t xml:space="preserve">1. Revisión de umbrales de reglas anti-fraude NR-07, NR-09 y NR-11 (Prioridad Alta): </w:t>
      </w:r>
      <w:r>
        <w:rPr>
          <w:rFonts w:ascii="Arial" w:cs="Arial" w:eastAsia="Arial" w:hAnsi="Arial"/>
          <w:sz w:val="22"/>
          <w:szCs w:val="22"/>
        </w:rPr>
        <w:t xml:space="preserve">Estas tres reglas son responsables del 74% del aumento en rechazos por fraude del Q3. Una revisión con datos de los 3 meses de operación de las reglas permitirá calibrar los umbrales para reducir los falsos positivos sin aumentar el fraude real. Meta: approval rate de 95,2% en Q4.</w:t>
      </w:r>
    </w:p>
    <w:p>
      <w:pPr>
        <w:spacing w:after="80"/>
      </w:pPr>
      <w:r>
        <w:t xml:space="preserve"/>
      </w:r>
    </w:p>
    <w:p>
      <w:pPr>
        <w:spacing w:after="120"/>
      </w:pPr>
      <w:r>
        <w:rPr>
          <w:rFonts w:ascii="Arial" w:cs="Arial" w:eastAsia="Arial" w:hAnsi="Arial"/>
          <w:b/>
          <w:bCs/>
          <w:sz w:val="22"/>
          <w:szCs w:val="22"/>
        </w:rPr>
        <w:t xml:space="preserve">2. Implementar PgBouncer para connection pooling (Prioridad Alta — antes de noviembre): </w:t>
      </w:r>
      <w:r>
        <w:rPr>
          <w:rFonts w:ascii="Arial" w:cs="Arial" w:eastAsia="Arial" w:hAnsi="Arial"/>
          <w:sz w:val="22"/>
          <w:szCs w:val="22"/>
        </w:rPr>
        <w:t xml:space="preserve">Con el volumen proyectado para el pico de noviembre-diciembre, el pool de conexiones actual (120) puede saturarse en los horarios de mayor demanda. PgBouncer actuará como proxy de conexiones, reduciendo la presión directa sobre la base de datos y permitiendo escalar el número de conexiones cliente sin impactar la base de datos.</w:t>
      </w:r>
    </w:p>
    <w:p>
      <w:pPr>
        <w:spacing w:after="80"/>
      </w:pPr>
      <w:r>
        <w:t xml:space="preserve"/>
      </w:r>
    </w:p>
    <w:p>
      <w:pPr>
        <w:spacing w:after="120"/>
      </w:pPr>
      <w:r>
        <w:rPr>
          <w:rFonts w:ascii="Arial" w:cs="Arial" w:eastAsia="Arial" w:hAnsi="Arial"/>
          <w:b/>
          <w:bCs/>
          <w:sz w:val="22"/>
          <w:szCs w:val="22"/>
        </w:rPr>
        <w:t xml:space="preserve">3. Revisar el límite máximo de auto-scaling (Prioridad Media): </w:t>
      </w:r>
      <w:r>
        <w:rPr>
          <w:rFonts w:ascii="Arial" w:cs="Arial" w:eastAsia="Arial" w:hAnsi="Arial"/>
          <w:sz w:val="22"/>
          <w:szCs w:val="22"/>
        </w:rPr>
        <w:t xml:space="preserve">Actualmente el auto-scaling puede escalar hasta 6 instancias de procesamiento. Con el volumen proyectado para diciembre, se recomienda aumentar el límite a 8 instancias y validar que la infraestructura de red puede sostener ese nivel de tráfico interno.</w:t>
      </w:r>
    </w:p>
    <w:p>
      <w:pPr>
        <w:spacing w:after="80"/>
      </w:pPr>
      <w:r>
        <w:t xml:space="preserve"/>
      </w:r>
    </w:p>
    <w:p>
      <w:pPr>
        <w:spacing w:after="120"/>
      </w:pPr>
      <w:r>
        <w:rPr>
          <w:rFonts w:ascii="Arial" w:cs="Arial" w:eastAsia="Arial" w:hAnsi="Arial"/>
          <w:b/>
          <w:bCs/>
          <w:sz w:val="22"/>
          <w:szCs w:val="22"/>
        </w:rPr>
        <w:t xml:space="preserve">4. Plan de comunicación proactiva a comercios en incidentes (Prioridad Media): </w:t>
      </w:r>
      <w:r>
        <w:rPr>
          <w:rFonts w:ascii="Arial" w:cs="Arial" w:eastAsia="Arial" w:hAnsi="Arial"/>
          <w:sz w:val="22"/>
          <w:szCs w:val="22"/>
        </w:rPr>
        <w:t xml:space="preserve">El incidente de agosto mostró que la comunicación automática dentro de los 30 minutos es valorada por los comercios. Extender este protocolo a todos los incidentes con más de 500 transacciones afectadas, incluyendo una estimación del tiempo de resolución y una confirmación cuando el servicio se normalice.</w:t>
      </w:r>
    </w:p>
    <w:p>
      <w:pPr>
        <w:pBdr>
          <w:bottom w:val="single" w:color="1A1A6E" w:sz="4" w:space="1"/>
        </w:pBdr>
        <w:spacing w:after="160"/>
      </w:pPr>
      <w:r>
        <w:t xml:space="preserve"/>
      </w:r>
    </w:p>
    <w:p>
      <w:pPr>
        <w:spacing w:after="120"/>
      </w:pPr>
      <w:r>
        <w:rPr>
          <w:rFonts w:ascii="Arial" w:cs="Arial" w:eastAsia="Arial" w:hAnsi="Arial"/>
          <w:b/>
          <w:bCs/>
          <w:sz w:val="22"/>
          <w:szCs w:val="22"/>
        </w:rPr>
        <w:t xml:space="preserve">Elaborado por: </w:t>
      </w:r>
      <w:r>
        <w:rPr>
          <w:rFonts w:ascii="Arial" w:cs="Arial" w:eastAsia="Arial" w:hAnsi="Arial"/>
          <w:sz w:val="22"/>
          <w:szCs w:val="22"/>
        </w:rPr>
        <w:t xml:space="preserve">Technology &amp; Operations Newpay</w:t>
      </w:r>
    </w:p>
    <w:p>
      <w:pPr>
        <w:spacing w:after="120"/>
      </w:pPr>
      <w:r>
        <w:rPr>
          <w:rFonts w:ascii="Arial" w:cs="Arial" w:eastAsia="Arial" w:hAnsi="Arial"/>
          <w:b/>
          <w:bCs/>
          <w:sz w:val="22"/>
          <w:szCs w:val="22"/>
        </w:rPr>
        <w:t xml:space="preserve">Fecha: </w:t>
      </w:r>
      <w:r>
        <w:rPr>
          <w:rFonts w:ascii="Arial" w:cs="Arial" w:eastAsia="Arial" w:hAnsi="Arial"/>
          <w:sz w:val="22"/>
          <w:szCs w:val="22"/>
        </w:rPr>
        <w:t xml:space="preserve">8 de octubre de 2024</w:t>
      </w:r>
    </w:p>
    <w:p>
      <w:pPr>
        <w:spacing w:after="120"/>
      </w:pPr>
      <w:r>
        <w:rPr>
          <w:rFonts w:ascii="Arial" w:cs="Arial" w:eastAsia="Arial" w:hAnsi="Arial"/>
          <w:b/>
          <w:bCs/>
          <w:sz w:val="22"/>
          <w:szCs w:val="22"/>
        </w:rPr>
        <w:t xml:space="preserve">Distribución: </w:t>
      </w:r>
      <w:r>
        <w:rPr>
          <w:rFonts w:ascii="Arial" w:cs="Arial" w:eastAsia="Arial" w:hAnsi="Arial"/>
          <w:sz w:val="22"/>
          <w:szCs w:val="22"/>
        </w:rPr>
        <w:t xml:space="preserve">Gerencia de Operaciones, Gerencia de Tecnología, Risk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A1A6E"/>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C2C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2026-05-25T15:48:42.404Z</dcterms:created>
  <dcterms:modified xsi:type="dcterms:W3CDTF">2026-05-25T15:48:42.404Z</dcterms:modified>
</cp:coreProperties>
</file>

<file path=docProps/custom.xml><?xml version="1.0" encoding="utf-8"?>
<Properties xmlns="http://schemas.openxmlformats.org/officeDocument/2006/custom-properties" xmlns:vt="http://schemas.openxmlformats.org/officeDocument/2006/docPropsVTypes"/>
</file>