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Automatización de Procesos — Diagnóstico Inicial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Process Transformation &amp; RPA | </w:t>
      </w:r>
      <w:r>
        <w:rPr>
          <w:rFonts w:ascii="Arial" w:cs="Arial" w:eastAsia="Arial" w:hAnsi="Arial"/>
          <w:b/>
          <w:bCs/>
          <w:sz w:val="22"/>
          <w:szCs w:val="22"/>
        </w:rPr>
        <w:t xml:space="preserve">Fecha: </w:t>
      </w:r>
      <w:r>
        <w:rPr>
          <w:rFonts w:ascii="Arial" w:cs="Arial" w:eastAsia="Arial" w:hAnsi="Arial"/>
          <w:sz w:val="22"/>
          <w:szCs w:val="22"/>
        </w:rPr>
        <w:t xml:space="preserve">Agosto 2024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Gerencia de Operaciones y Tecnología</w:t>
      </w:r>
    </w:p>
    <w:p>
      <w:pPr>
        <w:spacing w:after="120"/>
      </w:pPr>
      <w:r>
        <w:rPr>
          <w:rFonts w:ascii="Arial" w:cs="Arial" w:eastAsia="Arial" w:hAnsi="Arial"/>
          <w:b/>
          <w:bCs/>
          <w:sz w:val="22"/>
          <w:szCs w:val="22"/>
        </w:rPr>
        <w:t xml:space="preserve">Versión: </w:t>
      </w:r>
      <w:r>
        <w:rPr>
          <w:rFonts w:ascii="Arial" w:cs="Arial" w:eastAsia="Arial" w:hAnsi="Arial"/>
          <w:sz w:val="22"/>
          <w:szCs w:val="22"/>
        </w:rPr>
        <w:t xml:space="preserve">1.3 — Final para Comité de Aprobación</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Objetivo y Alcance del Diagnóstico</w:t>
      </w:r>
    </w:p>
    <w:p>
      <w:pPr>
        <w:spacing w:after="120"/>
      </w:pPr>
      <w:r>
        <w:rPr>
          <w:rFonts w:ascii="Arial" w:cs="Arial" w:eastAsia="Arial" w:hAnsi="Arial"/>
          <w:sz w:val="22"/>
          <w:szCs w:val="22"/>
        </w:rPr>
        <w:t xml:space="preserve">Este informe presenta los resultados del relevamiento de procesos candidatos a automatización realizado durante julio-agosto de 2024, en el marco del programa de transformación digital aprobado por el Directorio en diciembre de 2023. El objetivo del programa es reducir el trabajo manual repetitivo de bajo valor agregado en un 30% para diciembre de 2025, liberando capacidad operativa para tareas de mayor complejidad y mejorando la consistencia y trazabilidad de los procesos.</w:t>
      </w:r>
    </w:p>
    <w:p>
      <w:pPr>
        <w:spacing w:after="120"/>
      </w:pPr>
      <w:r>
        <w:rPr>
          <w:rFonts w:ascii="Arial" w:cs="Arial" w:eastAsia="Arial" w:hAnsi="Arial"/>
          <w:sz w:val="22"/>
          <w:szCs w:val="22"/>
        </w:rPr>
        <w:t xml:space="preserve">El relevamiento cubrió 34 procesos operativos en las áreas de Operaciones, Finanzas, RRHH y Tecnología. La metodología incluyó: entrevistas estructuradas con 28 referentes de área (un promedio de 1,5 horas por entrevista), observación directa de los procesos de mayor interés, análisis cuantitativo del tiempo dedicado mediante registros de los últimos 3 meses, y evaluación de viabilidad técnica por parte del equipo de Arquitectura.</w:t>
      </w:r>
    </w:p>
    <w:p>
      <w:pPr>
        <w:spacing w:after="120"/>
      </w:pPr>
      <w:r>
        <w:rPr>
          <w:rFonts w:ascii="Arial" w:cs="Arial" w:eastAsia="Arial" w:hAnsi="Arial"/>
          <w:sz w:val="22"/>
          <w:szCs w:val="22"/>
        </w:rPr>
        <w:t xml:space="preserve">Los 34 procesos relevados se evaluaron en dos dimensiones: potencial de automatización (determinado por el nivel de estructuración, repetibilidad y ausencia de criterio humano requerido) e impacto esperado (medido en horas/mes liberadas y costo de implementación). Esta matriz permitió identificar los 5 procesos de mayor prioridad para una primera fase de implementación.</w:t>
      </w:r>
    </w:p>
    <w:p>
      <w:pPr>
        <w:spacing w:after="80"/>
      </w:pPr>
      <w:r>
        <w:t xml:space="preserve"/>
      </w:r>
    </w:p>
    <w:p>
      <w:pPr>
        <w:pStyle w:val="Heading2"/>
      </w:pPr>
      <w:r>
        <w:rPr>
          <w:rFonts w:ascii="Arial" w:cs="Arial" w:eastAsia="Arial" w:hAnsi="Arial"/>
          <w:b/>
          <w:bCs/>
          <w:color w:val="2C2C7A"/>
          <w:sz w:val="24"/>
          <w:szCs w:val="24"/>
        </w:rPr>
        <w:t xml:space="preserve">2. Resumen del Relevamiento por Área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1400"/>
        <w:gridCol w:w="1760"/>
      </w:tblGrid>
      <w:tr>
        <w:trPr>
          <w:tblHeader/>
        </w:trPr>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Área</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Procesos relevados</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Candidatos RPA alta viab.</w:t>
            </w:r>
          </w:p>
        </w:tc>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Candidatos IA / asistida</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No candidatos</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Horas/mes afectadas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Operaciones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847</w:t>
            </w:r>
          </w:p>
        </w:tc>
      </w:tr>
      <w:tr>
        <w:trPr>
          <w:tblHeader w:val="false"/>
        </w:trPr>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Finanzas</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312</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RRHH</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224</w:t>
            </w:r>
          </w:p>
        </w:tc>
      </w:tr>
      <w:tr>
        <w:trPr>
          <w:tblHeader w:val="false"/>
        </w:trPr>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Tecnología</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198</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1.581</w:t>
            </w:r>
          </w:p>
        </w:tc>
      </w:tr>
    </w:tbl>
    <w:p>
      <w:pPr>
        <w:spacing w:after="80"/>
      </w:pPr>
      <w:r>
        <w:t xml:space="preserve"/>
      </w:r>
    </w:p>
    <w:p>
      <w:pPr>
        <w:spacing w:after="120"/>
      </w:pPr>
      <w:r>
        <w:rPr>
          <w:rFonts w:ascii="Arial" w:cs="Arial" w:eastAsia="Arial" w:hAnsi="Arial"/>
          <w:sz w:val="22"/>
          <w:szCs w:val="22"/>
        </w:rPr>
        <w:t xml:space="preserve">De los 34 procesos relevados, 24 fueron identificados como candidatos a algún tipo de automatización (14 para RPA pura y 10 para automatización asistida por IA). Los 10 procesos no candidatos incluyen actividades que requieren criterio humano complejo, negociación, interacción interpersonal o toma de decisiones con múltiples variables no estructuradas.</w:t>
      </w:r>
    </w:p>
    <w:p>
      <w:pPr>
        <w:spacing w:after="80"/>
      </w:pPr>
      <w:r>
        <w:t xml:space="preserve"/>
      </w:r>
    </w:p>
    <w:p>
      <w:pPr>
        <w:pStyle w:val="Heading2"/>
      </w:pPr>
      <w:r>
        <w:rPr>
          <w:rFonts w:ascii="Arial" w:cs="Arial" w:eastAsia="Arial" w:hAnsi="Arial"/>
          <w:b/>
          <w:bCs/>
          <w:color w:val="2C2C7A"/>
          <w:sz w:val="24"/>
          <w:szCs w:val="24"/>
        </w:rPr>
        <w:t xml:space="preserve">3. Definición de Niveles de Automatización</w:t>
      </w:r>
    </w:p>
    <w:p>
      <w:pPr>
        <w:spacing w:after="120"/>
      </w:pPr>
      <w:r>
        <w:rPr>
          <w:rFonts w:ascii="Arial" w:cs="Arial" w:eastAsia="Arial" w:hAnsi="Arial"/>
          <w:sz w:val="22"/>
          <w:szCs w:val="22"/>
        </w:rPr>
        <w:t xml:space="preserve">El diagnóstico utilizó una taxonomía de 3 niveles para clasificar los tipos de automatización aplicables:</w:t>
      </w:r>
    </w:p>
    <w:p>
      <w:pPr>
        <w:spacing w:after="120"/>
      </w:pPr>
      <w:r>
        <w:rPr>
          <w:rFonts w:ascii="Arial" w:cs="Arial" w:eastAsia="Arial" w:hAnsi="Arial"/>
          <w:b/>
          <w:bCs/>
          <w:sz w:val="22"/>
          <w:szCs w:val="22"/>
        </w:rPr>
        <w:t xml:space="preserve">Nivel 1 — RPA simple: </w:t>
      </w:r>
      <w:r>
        <w:rPr>
          <w:rFonts w:ascii="Arial" w:cs="Arial" w:eastAsia="Arial" w:hAnsi="Arial"/>
          <w:sz w:val="22"/>
          <w:szCs w:val="22"/>
        </w:rPr>
        <w:t xml:space="preserve">Automatización de tareas repetitivas basadas en reglas con flujos determinísticos. Sin variabilidad en los datos de entrada. Ejemplo: extracción de datos de emails con formato estándar y carga en sistema. Tiempo de implementación estimado: 4-8 semanas. Inversión típica: $8.000-$15.000.</w:t>
      </w:r>
    </w:p>
    <w:p>
      <w:pPr>
        <w:spacing w:after="80"/>
      </w:pPr>
      <w:r>
        <w:t xml:space="preserve"/>
      </w:r>
    </w:p>
    <w:p>
      <w:pPr>
        <w:spacing w:after="120"/>
      </w:pPr>
      <w:r>
        <w:rPr>
          <w:rFonts w:ascii="Arial" w:cs="Arial" w:eastAsia="Arial" w:hAnsi="Arial"/>
          <w:b/>
          <w:bCs/>
          <w:sz w:val="22"/>
          <w:szCs w:val="22"/>
        </w:rPr>
        <w:t xml:space="preserve">Nivel 2 — RPA con manejo de excepciones: </w:t>
      </w:r>
      <w:r>
        <w:rPr>
          <w:rFonts w:ascii="Arial" w:cs="Arial" w:eastAsia="Arial" w:hAnsi="Arial"/>
          <w:sz w:val="22"/>
          <w:szCs w:val="22"/>
        </w:rPr>
        <w:t xml:space="preserve">Automatización de procesos con variabilidad moderada en los datos de entrada. Incluye lógica de manejo de casos excepcionales y escalamiento a operador humano cuando el proceso no puede resolverse automáticamente. Ejemplo: procesamiento de chargebacks con diferentes tipos de documentación. Tiempo de implementación: 8-16 semanas. Inversión típica: $15.000-$35.000.</w:t>
      </w:r>
    </w:p>
    <w:p>
      <w:pPr>
        <w:spacing w:after="80"/>
      </w:pPr>
      <w:r>
        <w:t xml:space="preserve"/>
      </w:r>
    </w:p>
    <w:p>
      <w:pPr>
        <w:spacing w:after="120"/>
      </w:pPr>
      <w:r>
        <w:rPr>
          <w:rFonts w:ascii="Arial" w:cs="Arial" w:eastAsia="Arial" w:hAnsi="Arial"/>
          <w:b/>
          <w:bCs/>
          <w:sz w:val="22"/>
          <w:szCs w:val="22"/>
        </w:rPr>
        <w:t xml:space="preserve">Nivel 3 — Automatización asistida por IA: </w:t>
      </w:r>
      <w:r>
        <w:rPr>
          <w:rFonts w:ascii="Arial" w:cs="Arial" w:eastAsia="Arial" w:hAnsi="Arial"/>
          <w:sz w:val="22"/>
          <w:szCs w:val="22"/>
        </w:rPr>
        <w:t xml:space="preserve">Procesos que combinan automatización con modelos de IA para interpretar contenido no estructurado, tomar decisiones en base a múltiples variables o generar contenido. Ejemplo: clasificación de consultas de clientes y generación de respuestas. Tiempo de implementación: 12-24 semanas. Inversión típica: $30.000-$80.000.</w:t>
      </w:r>
    </w:p>
    <w:p>
      <w:pPr>
        <w:spacing w:after="80"/>
      </w:pPr>
      <w:r>
        <w:t xml:space="preserve"/>
      </w:r>
    </w:p>
    <w:p>
      <w:pPr>
        <w:pStyle w:val="Heading2"/>
      </w:pPr>
      <w:r>
        <w:rPr>
          <w:rFonts w:ascii="Arial" w:cs="Arial" w:eastAsia="Arial" w:hAnsi="Arial"/>
          <w:b/>
          <w:bCs/>
          <w:color w:val="2C2C7A"/>
          <w:sz w:val="24"/>
          <w:szCs w:val="24"/>
        </w:rPr>
        <w:t xml:space="preserve">4. Top 5 Procesos Prioritarios — Análisis Detallado</w:t>
      </w:r>
    </w:p>
    <w:p>
      <w:pPr>
        <w:spacing w:after="120"/>
      </w:pPr>
      <w:r>
        <w:rPr>
          <w:rFonts w:ascii="Arial" w:cs="Arial" w:eastAsia="Arial" w:hAnsi="Arial"/>
          <w:b/>
          <w:bCs/>
          <w:sz w:val="22"/>
          <w:szCs w:val="22"/>
        </w:rPr>
        <w:t xml:space="preserve">1. Conciliación diaria de transacciones (Operaciones — Nivel 2 — ALTA PRIORIDAD): </w:t>
      </w:r>
      <w:r>
        <w:rPr>
          <w:rFonts w:ascii="Arial" w:cs="Arial" w:eastAsia="Arial" w:hAnsi="Arial"/>
          <w:sz w:val="22"/>
          <w:szCs w:val="22"/>
        </w:rPr>
        <w:t xml:space="preserve">El proceso actual consiste en descargar los archivos de liquidación de 4 bancos emisores, compararlos con los registros del sistema de procesamiento propio, identificar discrepancias y resolverlas. Un analista dedica 4,5 horas diarias a este proceso (aproximadamente 90 horas/mes). El 90% del proceso es regla-driven: comparación de registros por número de transacción, monto y fecha. El 10% restante corresponde a casos de excepción que requieren investigación manual (montos que no coinciden, transacciones en una fuente pero no en la otra). La automatización podría reducir el tiempo a 9 horas/mes para la revisión de excepciones, un ahorro del 90%. El proceso requiere Nivel 2 de RPA por la variabilidad en los formatos de los archivos de los distintos bancos. Inversión estimada: $18.000. ROI estimado: 8 meses.</w:t>
      </w:r>
    </w:p>
    <w:p>
      <w:pPr>
        <w:spacing w:after="80"/>
      </w:pPr>
      <w:r>
        <w:t xml:space="preserve"/>
      </w:r>
    </w:p>
    <w:p>
      <w:pPr>
        <w:spacing w:after="120"/>
      </w:pPr>
      <w:r>
        <w:rPr>
          <w:rFonts w:ascii="Arial" w:cs="Arial" w:eastAsia="Arial" w:hAnsi="Arial"/>
          <w:b/>
          <w:bCs/>
          <w:sz w:val="22"/>
          <w:szCs w:val="22"/>
        </w:rPr>
        <w:t xml:space="preserve">2. Procesamiento de solicitudes de chargeback (Operaciones — Nivel 1 — ALTA PRIORIDAD): </w:t>
      </w:r>
      <w:r>
        <w:rPr>
          <w:rFonts w:ascii="Arial" w:cs="Arial" w:eastAsia="Arial" w:hAnsi="Arial"/>
          <w:sz w:val="22"/>
          <w:szCs w:val="22"/>
        </w:rPr>
        <w:t xml:space="preserve">El equipo recibe entre 15 y 25 solicitudes de chargeback diarias por email, cada una con un formulario adjunto en PDF. El proceso manual consiste en abrir el email, leer el PDF, clasificar la solicitud por tipo (6 categorías), extraer los datos relevantes (número de transacción, monto, motivo, datos del comercio), cargarlos en el sistema de gestión y asignar la solicitud al analista correspondiente. Este proceso demanda 3 horas diarias (65 horas/mes) y es altamente repetitivo. El 85% de los formularios tienen un formato estándar que permite extracción de datos con alta precisión mediante OCR. El 15% restante tiene variaciones que requieren revisión humana. Inversión estimada: $12.000. ROI estimado: 6 meses.</w:t>
      </w:r>
    </w:p>
    <w:p>
      <w:pPr>
        <w:spacing w:after="80"/>
      </w:pPr>
      <w:r>
        <w:t xml:space="preserve"/>
      </w:r>
    </w:p>
    <w:p>
      <w:pPr>
        <w:spacing w:after="120"/>
      </w:pPr>
      <w:r>
        <w:rPr>
          <w:rFonts w:ascii="Arial" w:cs="Arial" w:eastAsia="Arial" w:hAnsi="Arial"/>
          <w:b/>
          <w:bCs/>
          <w:sz w:val="22"/>
          <w:szCs w:val="22"/>
        </w:rPr>
        <w:t xml:space="preserve">3. Generación de reportes de cierre mensual (Finanzas — Nivel 2/3 — MEDIA PRIORIDAD): </w:t>
      </w:r>
      <w:r>
        <w:rPr>
          <w:rFonts w:ascii="Arial" w:cs="Arial" w:eastAsia="Arial" w:hAnsi="Arial"/>
          <w:sz w:val="22"/>
          <w:szCs w:val="22"/>
        </w:rPr>
        <w:t xml:space="preserve">El proceso de cierre mensual requiere 2 días completos (aproximadamente 48 horas de trabajo de 3 personas) para consolidar datos de 12 fuentes distintas en 8 reportes para diferentes audiencias: directorio, área comercial, riesgos, clientes institucionales y reguladores. Las 12 fuentes incluyen bases de datos internas, archivos Excel compartidos en red, APIs de sistemas externos y archivos planos. El principal desafío técnico es la heterogeneidad de las fuentes y el hecho de que 3 de ellas no tienen API disponible (se accede por scraping de portal web o descarga manual). Esto hace que la automatización completa requiera Nivel 3 con manejo de fuentes no estructuradas. Inversión estimada: $32.000. ROI estimado: 14 meses. Se recomienda empezar por las 5 fuentes con API disponible para una primera versión de menor complejidad.</w:t>
      </w:r>
    </w:p>
    <w:p>
      <w:pPr>
        <w:spacing w:after="80"/>
      </w:pPr>
      <w:r>
        <w:t xml:space="preserve"/>
      </w:r>
    </w:p>
    <w:p>
      <w:pPr>
        <w:spacing w:after="120"/>
      </w:pPr>
      <w:r>
        <w:rPr>
          <w:rFonts w:ascii="Arial" w:cs="Arial" w:eastAsia="Arial" w:hAnsi="Arial"/>
          <w:b/>
          <w:bCs/>
          <w:sz w:val="22"/>
          <w:szCs w:val="22"/>
        </w:rPr>
        <w:t xml:space="preserve">4. Alta de nuevos empleados — proceso administrativo (RRHH — Nivel 2): </w:t>
      </w:r>
      <w:r>
        <w:rPr>
          <w:rFonts w:ascii="Arial" w:cs="Arial" w:eastAsia="Arial" w:hAnsi="Arial"/>
          <w:sz w:val="22"/>
          <w:szCs w:val="22"/>
        </w:rPr>
        <w:t xml:space="preserve">El proceso de alta involucra 23 pasos manuales distribuidos en 5 sistemas distintos: HRIS (carga de datos personales), AD (creación de cuenta), herramienta de email (configuración de casilla), sistema de nómina (carga de datos de liquidación) y plataforma de beneficios (inscripción). Un analista de RRHH dedica en promedio 3,5 horas por alta, con un promedio de 12 altas por mes (42 horas/mes). Los pasos son altamente repetitivos y basados en reglas, pero requieren navegación a través de interfaces de usuario en múltiples sistemas (sin API disponible en todos los casos), lo que hace necesaria una solución RPA de automatización de interfaz. El mayor riesgo del proceso es la necesidad de coordinación con los equipos propietarios de cada sistema, que deberán validar que la automatización no rompe flujos existentes. Inversión estimada: $22.000. ROI estimado: 10 meses.</w:t>
      </w:r>
    </w:p>
    <w:p>
      <w:pPr>
        <w:spacing w:after="80"/>
      </w:pPr>
      <w:r>
        <w:t xml:space="preserve"/>
      </w:r>
    </w:p>
    <w:p>
      <w:pPr>
        <w:spacing w:after="120"/>
      </w:pPr>
      <w:r>
        <w:rPr>
          <w:rFonts w:ascii="Arial" w:cs="Arial" w:eastAsia="Arial" w:hAnsi="Arial"/>
          <w:b/>
          <w:bCs/>
          <w:sz w:val="22"/>
          <w:szCs w:val="22"/>
        </w:rPr>
        <w:t xml:space="preserve">5. Monitoreo y reporte de SLA de proveedores (Tecnología — Nivel 1): </w:t>
      </w:r>
      <w:r>
        <w:rPr>
          <w:rFonts w:ascii="Arial" w:cs="Arial" w:eastAsia="Arial" w:hAnsi="Arial"/>
          <w:sz w:val="22"/>
          <w:szCs w:val="22"/>
        </w:rPr>
        <w:t xml:space="preserve">Cada semana, el equipo de Tecnología consolida manualmente datos de disponibilidad y performance de 8 proveedores críticos para calcular el cumplimiento de SLA y preparar el reporte para el Comité de Proveedores. El proceso implica acceder a 8 portales distintos, descargar o copiar los datos de disponibilidad de la semana, pegarlos en un Excel de consolidación y generar el reporte. 6 horas semanales, 24 horas/mes. De los 8 proveedores, 6 tienen API de reportes disponible. Los 2 restantes requieren scraping de portal. Este proceso es el de menor complejidad técnica de los 5 priorizados y el ideal para iniciar el programa de automatización, dado que permite al equipo aprender la tecnología con bajo riesgo. Inversión estimada: $8.000. ROI estimado: 4 meses.</w:t>
      </w:r>
    </w:p>
    <w:p>
      <w:pPr>
        <w:spacing w:after="80"/>
      </w:pPr>
      <w:r>
        <w:t xml:space="preserve"/>
      </w:r>
    </w:p>
    <w:p>
      <w:pPr>
        <w:pStyle w:val="Heading2"/>
      </w:pPr>
      <w:r>
        <w:rPr>
          <w:rFonts w:ascii="Arial" w:cs="Arial" w:eastAsia="Arial" w:hAnsi="Arial"/>
          <w:b/>
          <w:bCs/>
          <w:color w:val="2C2C7A"/>
          <w:sz w:val="24"/>
          <w:szCs w:val="24"/>
        </w:rPr>
        <w:t xml:space="preserve">5. Análisis de Ahorro Potencial y ROI</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1400"/>
        <w:gridCol w:w="1400"/>
        <w:gridCol w:w="1200"/>
        <w:gridCol w:w="1200"/>
        <w:gridCol w:w="1200"/>
      </w:tblGrid>
      <w:tr>
        <w:trPr>
          <w:tblHeader/>
        </w:trPr>
        <w:tc>
          <w:tcPr>
            <w:tcW w:type="dxa" w:w="2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Proceso</w:t>
            </w:r>
          </w:p>
        </w:tc>
        <w:tc>
          <w:tcPr>
            <w:tcW w:type="dxa" w:w="1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Nivel RPA</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Horas/mes actuales</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Horas/mes post-auto.</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Ahorro hs/mes</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reducción</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Inversión ($)</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ROI (meses)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Conciliación transacciones</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$18.000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Procesamiento chargebacks</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65</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Reportes cierre mensual</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79%</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$32.000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Alta de empleados</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$22.000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Monitoreo SLA proveedores</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24</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$8.000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 TOP 5</w:t>
            </w:r>
          </w:p>
        </w:tc>
        <w:tc>
          <w:tcPr>
            <w:tcW w:type="dxa" w:w="1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269</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38</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231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86%</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$92.000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spacing w:after="120"/>
      </w:pPr>
      <w:r>
        <w:rPr>
          <w:rFonts w:ascii="Arial" w:cs="Arial" w:eastAsia="Arial" w:hAnsi="Arial"/>
          <w:sz w:val="22"/>
          <w:szCs w:val="22"/>
        </w:rPr>
        <w:t xml:space="preserve">El ahorro de 231 horas/mes equivale a 1,44 posiciones equivalentes de tiempo completo (considerando 160 horas/mes laborables). A un costo promedio de analista de $28/hora, el valor económico del ahorro es de $6.468/mes o $77.616/año. Contra una inversión total de $92.000 (excluyendo licencias de software), el retorno global del portafolio de los 5 proyectos se alcanza en 14 meses, considerando también los costos de mantenimiento anual estimados en $18.000.</w:t>
      </w:r>
    </w:p>
    <w:p>
      <w:pPr>
        <w:spacing w:after="80"/>
      </w:pPr>
      <w:r>
        <w:t xml:space="preserve"/>
      </w:r>
    </w:p>
    <w:p>
      <w:pPr>
        <w:pStyle w:val="Heading2"/>
      </w:pPr>
      <w:r>
        <w:rPr>
          <w:rFonts w:ascii="Arial" w:cs="Arial" w:eastAsia="Arial" w:hAnsi="Arial"/>
          <w:b/>
          <w:bCs/>
          <w:color w:val="2C2C7A"/>
          <w:sz w:val="24"/>
          <w:szCs w:val="24"/>
        </w:rPr>
        <w:t xml:space="preserve">6. Riesgos y Condicionantes</w:t>
      </w:r>
    </w:p>
    <w:p>
      <w:pPr>
        <w:spacing w:after="120"/>
      </w:pPr>
      <w:r>
        <w:rPr>
          <w:rFonts w:ascii="Arial" w:cs="Arial" w:eastAsia="Arial" w:hAnsi="Arial"/>
          <w:b/>
          <w:bCs/>
          <w:sz w:val="22"/>
          <w:szCs w:val="22"/>
        </w:rPr>
        <w:t xml:space="preserve">Riesgos técnicos: </w:t>
      </w:r>
    </w:p>
    <w:p>
      <w:pPr>
        <w:pStyle w:val="ListParagraph"/>
        <w:numPr>
          <w:ilvl w:val="0"/>
          <w:numId w:val="2"/>
        </w:numPr>
        <w:spacing w:after="80"/>
      </w:pPr>
      <w:r>
        <w:rPr>
          <w:rFonts w:ascii="Arial" w:cs="Arial" w:eastAsia="Arial" w:hAnsi="Arial"/>
          <w:sz w:val="22"/>
          <w:szCs w:val="22"/>
        </w:rPr>
        <w:t xml:space="preserve">Los procesos con múltiples fuentes de datos (especialmente el de reportes de cierre mensual) requieren acceso a APIs o integraciones que pueden demandar desarrollo adicional por parte de los equipos propietarios de los sistemas fuente.</w:t>
      </w:r>
    </w:p>
    <w:p>
      <w:pPr>
        <w:pStyle w:val="ListParagraph"/>
        <w:numPr>
          <w:ilvl w:val="0"/>
          <w:numId w:val="2"/>
        </w:numPr>
        <w:spacing w:after="80"/>
      </w:pPr>
      <w:r>
        <w:rPr>
          <w:rFonts w:ascii="Arial" w:cs="Arial" w:eastAsia="Arial" w:hAnsi="Arial"/>
          <w:sz w:val="22"/>
          <w:szCs w:val="22"/>
        </w:rPr>
        <w:t xml:space="preserve">Dos de los 5 procesos priorizados requieren scraping de portales web, que es una técnica frágil ante cambios de diseño del portal. Se recomienda negociar acceso por API con esos proveedores como condición previa o alternativa.</w:t>
      </w:r>
    </w:p>
    <w:p>
      <w:pPr>
        <w:pStyle w:val="ListParagraph"/>
        <w:numPr>
          <w:ilvl w:val="0"/>
          <w:numId w:val="2"/>
        </w:numPr>
        <w:spacing w:after="80"/>
      </w:pPr>
      <w:r>
        <w:rPr>
          <w:rFonts w:ascii="Arial" w:cs="Arial" w:eastAsia="Arial" w:hAnsi="Arial"/>
          <w:sz w:val="22"/>
          <w:szCs w:val="22"/>
        </w:rPr>
        <w:t xml:space="preserve">La conciliación de transacciones presenta variabilidad en los formatos de archivo de los bancos emisores. Un cambio en el formato por parte de cualquier banco requeriría ajuste del robot, lo que demanda un proceso de monitoreo y mantenimiento continuo.</w:t>
      </w:r>
    </w:p>
    <w:p>
      <w:pPr>
        <w:spacing w:after="80"/>
      </w:pPr>
      <w:r>
        <w:t xml:space="preserve"/>
      </w:r>
    </w:p>
    <w:p>
      <w:pPr>
        <w:spacing w:after="120"/>
      </w:pPr>
      <w:r>
        <w:rPr>
          <w:rFonts w:ascii="Arial" w:cs="Arial" w:eastAsia="Arial" w:hAnsi="Arial"/>
          <w:b/>
          <w:bCs/>
          <w:sz w:val="22"/>
          <w:szCs w:val="22"/>
        </w:rPr>
        <w:t xml:space="preserve">Riesgos de proceso: </w:t>
      </w:r>
    </w:p>
    <w:p>
      <w:pPr>
        <w:pStyle w:val="ListParagraph"/>
        <w:numPr>
          <w:ilvl w:val="0"/>
          <w:numId w:val="2"/>
        </w:numPr>
        <w:spacing w:after="80"/>
      </w:pPr>
      <w:r>
        <w:rPr>
          <w:rFonts w:ascii="Arial" w:cs="Arial" w:eastAsia="Arial" w:hAnsi="Arial"/>
          <w:sz w:val="22"/>
          <w:szCs w:val="22"/>
        </w:rPr>
        <w:t xml:space="preserve">La automatización del alta de empleados requiere coordinación y aprobación de los 5 equipos propietarios de los sistemas involucrados. La experiencia de proyectos similares en otras organizaciones indica que este tipo de coordinación puede demorar el proyecto 4-8 semanas adicionales.</w:t>
      </w:r>
    </w:p>
    <w:p>
      <w:pPr>
        <w:pStyle w:val="ListParagraph"/>
        <w:numPr>
          <w:ilvl w:val="0"/>
          <w:numId w:val="2"/>
        </w:numPr>
        <w:spacing w:after="80"/>
      </w:pPr>
      <w:r>
        <w:rPr>
          <w:rFonts w:ascii="Arial" w:cs="Arial" w:eastAsia="Arial" w:hAnsi="Arial"/>
          <w:sz w:val="22"/>
          <w:szCs w:val="22"/>
        </w:rPr>
        <w:t xml:space="preserve">El proceso de conciliación tiene un 10% de casos excepcionales que requieren criterio humano. Si el robot no identifica correctamente esos casos y los pasa como resueltos, podría generar errores de conciliación que son más difíciles de detectar que los actuales. Se requiere un mecanismo robusto de escalamiento de excepciones.</w:t>
      </w:r>
    </w:p>
    <w:p>
      <w:pPr>
        <w:pStyle w:val="ListParagraph"/>
        <w:numPr>
          <w:ilvl w:val="0"/>
          <w:numId w:val="2"/>
        </w:numPr>
        <w:spacing w:after="80"/>
      </w:pPr>
      <w:r>
        <w:rPr>
          <w:rFonts w:ascii="Arial" w:cs="Arial" w:eastAsia="Arial" w:hAnsi="Arial"/>
          <w:sz w:val="22"/>
          <w:szCs w:val="22"/>
        </w:rPr>
        <w:t xml:space="preserve">Se debe garantizar que todas las soluciones implementadas cumplan con los requisitos de registro de auditoría y trazabilidad exigidos por el área de Risk, que requiere que cada acción automatizada quede registrada con timestamp, usuario robot y resultado.</w:t>
      </w:r>
    </w:p>
    <w:p>
      <w:pPr>
        <w:spacing w:after="80"/>
      </w:pPr>
      <w:r>
        <w:t xml:space="preserve"/>
      </w:r>
    </w:p>
    <w:p>
      <w:pPr>
        <w:pStyle w:val="Heading2"/>
      </w:pPr>
      <w:r>
        <w:rPr>
          <w:rFonts w:ascii="Arial" w:cs="Arial" w:eastAsia="Arial" w:hAnsi="Arial"/>
          <w:b/>
          <w:bCs/>
          <w:color w:val="2C2C7A"/>
          <w:sz w:val="24"/>
          <w:szCs w:val="24"/>
        </w:rPr>
        <w:t xml:space="preserve">7. Recomendación de Priorización por Fases</w:t>
      </w:r>
    </w:p>
    <w:p>
      <w:pPr>
        <w:spacing w:after="120"/>
      </w:pPr>
      <w:r>
        <w:rPr>
          <w:rFonts w:ascii="Arial" w:cs="Arial" w:eastAsia="Arial" w:hAnsi="Arial"/>
          <w:b/>
          <w:bCs/>
          <w:sz w:val="22"/>
          <w:szCs w:val="22"/>
        </w:rPr>
        <w:t xml:space="preserve">Fase 1 — Q4 2024 (Inversión: $20.000 | Ahorro: 77 hs/mes): </w:t>
      </w:r>
      <w:r>
        <w:rPr>
          <w:rFonts w:ascii="Arial" w:cs="Arial" w:eastAsia="Arial" w:hAnsi="Arial"/>
          <w:sz w:val="22"/>
          <w:szCs w:val="22"/>
        </w:rPr>
        <w:t xml:space="preserve">Iniciar con los procesos de menor complejidad técnica y mayor velocidad de implementación. Procesamiento de chargebacks ($12.000, ROI 6 meses) y Monitoreo de SLA de proveedores ($8.000, ROI 4 meses). Estos procesos permiten al equipo aprender la metodología, establecer el gobierno del programa y mostrar resultados rápidos que generen confianza en la organización.</w:t>
      </w:r>
    </w:p>
    <w:p>
      <w:pPr>
        <w:spacing w:after="80"/>
      </w:pPr>
      <w:r>
        <w:t xml:space="preserve"/>
      </w:r>
    </w:p>
    <w:p>
      <w:pPr>
        <w:spacing w:after="120"/>
      </w:pPr>
      <w:r>
        <w:rPr>
          <w:rFonts w:ascii="Arial" w:cs="Arial" w:eastAsia="Arial" w:hAnsi="Arial"/>
          <w:b/>
          <w:bCs/>
          <w:sz w:val="22"/>
          <w:szCs w:val="22"/>
        </w:rPr>
        <w:t xml:space="preserve">Fase 2 — Q1 2025 (Inversión: $40.000 | Ahorro adicional: 116 hs/mes): </w:t>
      </w:r>
      <w:r>
        <w:rPr>
          <w:rFonts w:ascii="Arial" w:cs="Arial" w:eastAsia="Arial" w:hAnsi="Arial"/>
          <w:sz w:val="22"/>
          <w:szCs w:val="22"/>
        </w:rPr>
        <w:t xml:space="preserve">Conciliación de transacciones ($18.000, ROI 8 meses) y Alta de empleados ($22.000, ROI 10 meses). Mayor impacto en términos de horas liberadas, pero requieren mayor preparación técnica y coordinación inter-área. La experiencia de Fase 1 permitirá abordarlos con mayor madurez.</w:t>
      </w:r>
    </w:p>
    <w:p>
      <w:pPr>
        <w:spacing w:after="80"/>
      </w:pPr>
      <w:r>
        <w:t xml:space="preserve"/>
      </w:r>
    </w:p>
    <w:p>
      <w:pPr>
        <w:spacing w:after="120"/>
      </w:pPr>
      <w:r>
        <w:rPr>
          <w:rFonts w:ascii="Arial" w:cs="Arial" w:eastAsia="Arial" w:hAnsi="Arial"/>
          <w:b/>
          <w:bCs/>
          <w:sz w:val="22"/>
          <w:szCs w:val="22"/>
        </w:rPr>
        <w:t xml:space="preserve">Fase 3 — Q2 2025 (Inversión: $32.000 | Ahorro adicional: 38 hs/mes): </w:t>
      </w:r>
      <w:r>
        <w:rPr>
          <w:rFonts w:ascii="Arial" w:cs="Arial" w:eastAsia="Arial" w:hAnsi="Arial"/>
          <w:sz w:val="22"/>
          <w:szCs w:val="22"/>
        </w:rPr>
        <w:t xml:space="preserve">Generación de reportes de cierre mensual. Mayor complejidad técnica por la heterogeneidad de fuentes. Requiere una definición previa de arquitectura de datos y la negociación de acceso API con los sistemas que no lo tienen disponible. Se recomienda comenzar con una versión reducida que cubra las 5 fuentes más simples y expandir iterativamente.</w:t>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Process Transformation &amp; RPA</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30 de agosto de 2024</w:t>
      </w:r>
    </w:p>
    <w:p>
      <w:pPr>
        <w:spacing w:after="120"/>
      </w:pPr>
      <w:r>
        <w:rPr>
          <w:rFonts w:ascii="Arial" w:cs="Arial" w:eastAsia="Arial" w:hAnsi="Arial"/>
          <w:b/>
          <w:bCs/>
          <w:sz w:val="22"/>
          <w:szCs w:val="22"/>
        </w:rPr>
        <w:t xml:space="preserve">Para aprobación de: </w:t>
      </w:r>
      <w:r>
        <w:rPr>
          <w:rFonts w:ascii="Arial" w:cs="Arial" w:eastAsia="Arial" w:hAnsi="Arial"/>
          <w:sz w:val="22"/>
          <w:szCs w:val="22"/>
        </w:rPr>
        <w:t xml:space="preserve">Comité de Transformación Digital — sesión del 12 de septiembre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2026-05-25T15:50:02.691Z</dcterms:created>
  <dcterms:modified xsi:type="dcterms:W3CDTF">2026-05-25T15:50:02.691Z</dcterms:modified>
</cp:coreProperties>
</file>

<file path=docProps/custom.xml><?xml version="1.0" encoding="utf-8"?>
<Properties xmlns="http://schemas.openxmlformats.org/officeDocument/2006/custom-properties" xmlns:vt="http://schemas.openxmlformats.org/officeDocument/2006/docPropsVTypes"/>
</file>