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6E"/>
          <w:sz w:val="28"/>
          <w:szCs w:val="28"/>
        </w:rPr>
        <w:t xml:space="preserve">Informe de Capacidad y Disponibilidad de Infraestructura — Q3 2024</w:t>
      </w:r>
    </w:p>
    <w:p>
      <w:pPr>
        <w:spacing w:after="120"/>
      </w:pPr>
      <w:r>
        <w:rPr>
          <w:rFonts w:ascii="Arial" w:cs="Arial" w:eastAsia="Arial" w:hAnsi="Arial"/>
          <w:b/>
          <w:bCs/>
          <w:sz w:val="22"/>
          <w:szCs w:val="22"/>
        </w:rPr>
        <w:t xml:space="preserve">Área: </w:t>
      </w:r>
      <w:r>
        <w:rPr>
          <w:rFonts w:ascii="Arial" w:cs="Arial" w:eastAsia="Arial" w:hAnsi="Arial"/>
          <w:sz w:val="22"/>
          <w:szCs w:val="22"/>
        </w:rPr>
        <w:t xml:space="preserve">Servers &amp; Storage Technologies / DevOps | </w:t>
      </w:r>
      <w:r>
        <w:rPr>
          <w:rFonts w:ascii="Arial" w:cs="Arial" w:eastAsia="Arial" w:hAnsi="Arial"/>
          <w:b/>
          <w:bCs/>
          <w:sz w:val="22"/>
          <w:szCs w:val="22"/>
        </w:rPr>
        <w:t xml:space="preserve">Período: </w:t>
      </w:r>
      <w:r>
        <w:rPr>
          <w:rFonts w:ascii="Arial" w:cs="Arial" w:eastAsia="Arial" w:hAnsi="Arial"/>
          <w:sz w:val="22"/>
          <w:szCs w:val="22"/>
        </w:rPr>
        <w:t xml:space="preserve">Julio – Septiembre 2024</w:t>
      </w:r>
    </w:p>
    <w:p>
      <w:pPr>
        <w:spacing w:after="120"/>
      </w:pPr>
      <w:r>
        <w:rPr>
          <w:rFonts w:ascii="Arial" w:cs="Arial" w:eastAsia="Arial" w:hAnsi="Arial"/>
          <w:b/>
          <w:bCs/>
          <w:sz w:val="22"/>
          <w:szCs w:val="22"/>
        </w:rPr>
        <w:t xml:space="preserve">Distribución: </w:t>
      </w:r>
      <w:r>
        <w:rPr>
          <w:rFonts w:ascii="Arial" w:cs="Arial" w:eastAsia="Arial" w:hAnsi="Arial"/>
          <w:sz w:val="22"/>
          <w:szCs w:val="22"/>
        </w:rPr>
        <w:t xml:space="preserve">Comité de Tecnología</w:t>
      </w:r>
    </w:p>
    <w:p>
      <w:pPr>
        <w:spacing w:after="120"/>
      </w:pPr>
      <w:r>
        <w:rPr>
          <w:rFonts w:ascii="Arial" w:cs="Arial" w:eastAsia="Arial" w:hAnsi="Arial"/>
          <w:b/>
          <w:bCs/>
          <w:sz w:val="22"/>
          <w:szCs w:val="22"/>
        </w:rPr>
        <w:t xml:space="preserve">Clasificación: </w:t>
      </w:r>
      <w:r>
        <w:rPr>
          <w:rFonts w:ascii="Arial" w:cs="Arial" w:eastAsia="Arial" w:hAnsi="Arial"/>
          <w:sz w:val="22"/>
          <w:szCs w:val="22"/>
        </w:rPr>
        <w:t xml:space="preserve">Interno — Restringido a equipos de Tecnología y Gerencia</w:t>
      </w:r>
    </w:p>
    <w:p>
      <w:pPr>
        <w:pBdr>
          <w:bottom w:val="single" w:color="1A1A6E" w:sz="4" w:space="1"/>
        </w:pBdr>
        <w:spacing w:after="160"/>
      </w:pPr>
      <w:r>
        <w:t xml:space="preserve"/>
      </w:r>
    </w:p>
    <w:p>
      <w:pPr>
        <w:pStyle w:val="Heading2"/>
      </w:pPr>
      <w:r>
        <w:rPr>
          <w:rFonts w:ascii="Arial" w:cs="Arial" w:eastAsia="Arial" w:hAnsi="Arial"/>
          <w:b/>
          <w:bCs/>
          <w:color w:val="2C2C7A"/>
          <w:sz w:val="24"/>
          <w:szCs w:val="24"/>
        </w:rPr>
        <w:t xml:space="preserve">1. Estado General de Disponibilidad</w:t>
      </w:r>
    </w:p>
    <w:p>
      <w:pPr>
        <w:spacing w:after="120"/>
      </w:pPr>
      <w:r>
        <w:rPr>
          <w:rFonts w:ascii="Arial" w:cs="Arial" w:eastAsia="Arial" w:hAnsi="Arial"/>
          <w:sz w:val="22"/>
          <w:szCs w:val="22"/>
        </w:rPr>
        <w:t xml:space="preserve">La infraestructura de Prisma Medios de Pago mantuvo durante el tercer trimestre una disponibilidad promedio ponderada del 99,74%, por encima del SLA contractual del 99,5% (equivalente a 3,6 horas de indisponibilidad permitidas por mes) pero por debajo del objetivo interno del 99,9%. El total de tiempo de indisponibilidad o degradación significativa en el trimestre fue de 5,2 horas, distribuidas en 4 eventos.</w:t>
      </w:r>
    </w:p>
    <w:p>
      <w:pPr>
        <w:spacing w:after="120"/>
      </w:pPr>
      <w:r>
        <w:rPr>
          <w:rFonts w:ascii="Arial" w:cs="Arial" w:eastAsia="Arial" w:hAnsi="Arial"/>
          <w:sz w:val="22"/>
          <w:szCs w:val="22"/>
        </w:rPr>
        <w:t xml:space="preserve">El análisis de capacidad revela presión creciente en tres recursos: almacenamiento de archivos históricos (90% de ocupación, situación crítica), CPU en horario de cierre de mes (82% en picos, en zona de alerta) y ancho de banda de red del datacenter principal (71% en horario nocturno de sincronización, próximo a la zona de alerta). Los tres requieren planes de acción con fechas compromiso definidas antes de fin de año.</w:t>
      </w:r>
    </w:p>
    <w:p>
      <w:pPr>
        <w:spacing w:after="80"/>
      </w:pPr>
      <w:r>
        <w:t xml:space="preserve"/>
      </w:r>
    </w:p>
    <w:p>
      <w:pPr>
        <w:pStyle w:val="Heading2"/>
      </w:pPr>
      <w:r>
        <w:rPr>
          <w:rFonts w:ascii="Arial" w:cs="Arial" w:eastAsia="Arial" w:hAnsi="Arial"/>
          <w:b/>
          <w:bCs/>
          <w:color w:val="2C2C7A"/>
          <w:sz w:val="24"/>
          <w:szCs w:val="24"/>
        </w:rPr>
        <w:t xml:space="preserve">2. Disponibilidad por Capa de Infraestructura</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600"/>
        <w:gridCol w:w="1200"/>
        <w:gridCol w:w="960"/>
      </w:tblGrid>
      <w:tr>
        <w:trPr>
          <w:tblHeader/>
        </w:trPr>
        <w:tc>
          <w:tcPr>
            <w:tcW w:type="dxa" w:w="2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Capa</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Disponibilidad Q3</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Disponibilidad Q2</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Variación</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SLA comprometido</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Estado</w:t>
            </w:r>
          </w:p>
        </w:tc>
        <w:tc>
          <w:tcPr>
            <w:tcW w:type="dxa" w:w="9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Incidentes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Servidores de aplicación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99,91%</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99,95%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-0,04 pp</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99,9%</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OK</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Base de datos producción</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99,88%</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99,92%</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-0,04 pp</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99,8%</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OK</w:t>
            </w:r>
          </w:p>
        </w:tc>
        <w:tc>
          <w:tcPr>
            <w:tcW w:type="dxa" w:w="9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menor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Almacenamiento SAN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99,61%</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99,78%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-0,17 pp</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Alerta</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 degradación</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Red datacenter principal</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99,98%</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99,97%</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+0,01 pp</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99,95%</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OK</w:t>
            </w:r>
          </w:p>
        </w:tc>
        <w:tc>
          <w:tcPr>
            <w:tcW w:type="dxa" w:w="9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Servidor archivos históricos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99,41%</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99,67%</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-0,26 pp</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Alerta</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 lentitud</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Entorno cloud Azure DR</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99,5%</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OK</w:t>
            </w:r>
          </w:p>
        </w:tc>
        <w:tc>
          <w:tcPr>
            <w:tcW w:type="dxa" w:w="9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Ambientes de testing/QA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99,12%</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98,88%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+0,24 pp</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98,5%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OK</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 menores</w:t>
            </w:r>
          </w:p>
        </w:tc>
      </w:tr>
    </w:tbl>
    <w:p>
      <w:pPr>
        <w:spacing w:after="80"/>
      </w:pPr>
      <w:r>
        <w:t xml:space="preserve"/>
      </w:r>
    </w:p>
    <w:p>
      <w:pPr>
        <w:spacing w:after="120"/>
      </w:pPr>
      <w:r>
        <w:rPr>
          <w:rFonts w:ascii="Arial" w:cs="Arial" w:eastAsia="Arial" w:hAnsi="Arial"/>
          <w:sz w:val="22"/>
          <w:szCs w:val="22"/>
        </w:rPr>
        <w:t xml:space="preserve">El deterioro más significativo del trimestre es el del servidor de archivos históricos, que cayó 0,26 puntos porcentuales respecto a Q2 y acumula 3 eventos de lentitud severa. Esta degradación es directamente consecuencia del aumento en el porcentaje de ocupación del servidor (de 84% a 90% en el trimestre), que genera contención de recursos entre los procesos de indexación y las operaciones normales de lectura/escritura.</w:t>
      </w:r>
    </w:p>
    <w:p>
      <w:pPr>
        <w:spacing w:after="80"/>
      </w:pPr>
      <w:r>
        <w:t xml:space="preserve"/>
      </w:r>
    </w:p>
    <w:p>
      <w:pPr>
        <w:pStyle w:val="Heading2"/>
      </w:pPr>
      <w:r>
        <w:rPr>
          <w:rFonts w:ascii="Arial" w:cs="Arial" w:eastAsia="Arial" w:hAnsi="Arial"/>
          <w:b/>
          <w:bCs/>
          <w:color w:val="2C2C7A"/>
          <w:sz w:val="24"/>
          <w:szCs w:val="24"/>
        </w:rPr>
        <w:t xml:space="preserve">3. Análisis Detallado de Capacidad por Recurso</w:t>
      </w:r>
    </w:p>
    <w:p>
      <w:pPr>
        <w:spacing w:after="120"/>
      </w:pPr>
      <w:r>
        <w:rPr>
          <w:rFonts w:ascii="Arial" w:cs="Arial" w:eastAsia="Arial" w:hAnsi="Arial"/>
          <w:b/>
          <w:bCs/>
          <w:sz w:val="22"/>
          <w:szCs w:val="22"/>
        </w:rPr>
        <w:t xml:space="preserve">Almacenamiento de archivos históricos — NAS (CRÍTICO): </w:t>
      </w:r>
      <w:r>
        <w:rPr>
          <w:rFonts w:ascii="Arial" w:cs="Arial" w:eastAsia="Arial" w:hAnsi="Arial"/>
          <w:sz w:val="22"/>
          <w:szCs w:val="22"/>
        </w:rPr>
        <w:t xml:space="preserve">El servidor NAS destinado a archivos históricos y backups de largo plazo registra una ocupación del 90% de su capacidad total (45 TB de 50 TB disponibles). La tasa de crecimiento del trimestre fue de 1,2 TB/mes, consistente con la tendencia de los últimos 6 meses. A esta tasa, el servidor alcanzará el umbral operativo del 95% en aproximadamente 4 semanas (semana del 28 de octubre) y el límite del 100% en 9 semanas (semana del 2 de diciembre). El impacto de alcanzar el 95% es que los procesos de backup automático fallarán por falta de espacio, lo que generará un riesgo de pérdida de datos de respaldo que no será visible hasta que se necesite una restauración.</w:t>
      </w:r>
    </w:p>
    <w:p>
      <w:pPr>
        <w:spacing w:after="8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400"/>
        <w:gridCol w:w="1400"/>
        <w:gridCol w:w="1760"/>
      </w:tblGrid>
      <w:tr>
        <w:trPr>
          <w:tblHeader/>
        </w:trPr>
        <w:tc>
          <w:tcPr>
            <w:tcW w:type="dxa" w:w="2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Recurso NAS</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Valor actual</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Tasa crecimiento</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Umbral 95% en</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Umbral 100% en</w:t>
            </w:r>
          </w:p>
        </w:tc>
        <w:tc>
          <w:tcPr>
            <w:tcW w:type="dxa" w:w="17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Impacto de no actuar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Capacidad total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50 TB</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Ocupación actual</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45 TB (90%)</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 TB/mes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 semanas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 semanas</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Fallo en backups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Backup diario (espacio)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~80 GB/día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rPr>
          <w:tblHeader w:val="false"/>
        </w:trPr>
        <w:tc>
          <w:tcPr>
            <w:tcW w:type="dxa" w:w="2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Datos con &gt;36 meses</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~18 TB (40%)</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Candidatos a archivado</w:t>
            </w:r>
          </w:p>
        </w:tc>
      </w:tr>
    </w:tbl>
    <w:p>
      <w:pPr>
        <w:spacing w:after="80"/>
      </w:pPr>
      <w:r>
        <w:t xml:space="preserve"/>
      </w:r>
    </w:p>
    <w:p>
      <w:pPr>
        <w:spacing w:after="120"/>
      </w:pPr>
      <w:r>
        <w:rPr>
          <w:rFonts w:ascii="Arial" w:cs="Arial" w:eastAsia="Arial" w:hAnsi="Arial"/>
          <w:b/>
          <w:bCs/>
          <w:sz w:val="22"/>
          <w:szCs w:val="22"/>
        </w:rPr>
        <w:t xml:space="preserve">CPU — Servidores de procesamiento batch (ALERTA): </w:t>
      </w:r>
      <w:r>
        <w:rPr>
          <w:rFonts w:ascii="Arial" w:cs="Arial" w:eastAsia="Arial" w:hAnsi="Arial"/>
          <w:sz w:val="22"/>
          <w:szCs w:val="22"/>
        </w:rPr>
        <w:t xml:space="preserve">Durante los cierres de mes (días 28-31 de cada mes), los servidores de procesamiento batch alcanzan el 82% de uso promedio de CPU, con picos puntuales del 88%. El umbral de alerta definido en la política de infraestructura es 85% sostenido por más de 30 minutos. En Q3 ese umbral fue alcanzado en 2 oportunidades (cierre de agosto y cierre de septiembre). Al ritmo de crecimiento del volumen de procesamiento (+14% interanual), se estima que el umbral se superará de manera sostenida en el cierre de marzo 2025 si no se toman medidas preventivas.</w:t>
      </w:r>
    </w:p>
    <w:p>
      <w:pPr>
        <w:spacing w:after="80"/>
      </w:pPr>
      <w:r>
        <w:t xml:space="preserve"/>
      </w:r>
    </w:p>
    <w:p>
      <w:pPr>
        <w:spacing w:after="120"/>
      </w:pPr>
      <w:r>
        <w:rPr>
          <w:rFonts w:ascii="Arial" w:cs="Arial" w:eastAsia="Arial" w:hAnsi="Arial"/>
          <w:b/>
          <w:bCs/>
          <w:sz w:val="22"/>
          <w:szCs w:val="22"/>
        </w:rPr>
        <w:t xml:space="preserve">Ancho de banda de red — Datacenter principal (SEGUIMIENTO): </w:t>
      </w:r>
      <w:r>
        <w:rPr>
          <w:rFonts w:ascii="Arial" w:cs="Arial" w:eastAsia="Arial" w:hAnsi="Arial"/>
          <w:sz w:val="22"/>
          <w:szCs w:val="22"/>
        </w:rPr>
        <w:t xml:space="preserve">El switch de core del datacenter principal alcanza el 71% de su capacidad (7,1 Gbps de 10 Gbps) durante las ventanas de sincronización nocturna (00:00-04:00). El umbral de alerta es 80% (8 Gbps). Con el plan de migración de datos históricos a Azure Blob Storage previsto para Q1 2025 (que generará tráfico de replicación adicional estimado en 800-900 Mbps durante las ventanas nocturnas), se proyecta superar el umbral sin ampliación previa. Adicionalmente, el crecimiento orgánico del volumen de procesamiento está aumentando el tráfico inter-sistemas de manera sostenida.</w:t>
      </w:r>
    </w:p>
    <w:p>
      <w:pPr>
        <w:spacing w:after="80"/>
      </w:pPr>
      <w:r>
        <w:t xml:space="preserve"/>
      </w:r>
    </w:p>
    <w:p>
      <w:pPr>
        <w:spacing w:after="120"/>
      </w:pPr>
      <w:r>
        <w:rPr>
          <w:rFonts w:ascii="Arial" w:cs="Arial" w:eastAsia="Arial" w:hAnsi="Arial"/>
          <w:b/>
          <w:bCs/>
          <w:sz w:val="22"/>
          <w:szCs w:val="22"/>
        </w:rPr>
        <w:t xml:space="preserve">RAM — Servidores de aplicación (SIN ALERTA): </w:t>
      </w:r>
      <w:r>
        <w:rPr>
          <w:rFonts w:ascii="Arial" w:cs="Arial" w:eastAsia="Arial" w:hAnsi="Arial"/>
          <w:sz w:val="22"/>
          <w:szCs w:val="22"/>
        </w:rPr>
        <w:t xml:space="preserve">El uso de RAM se mantiene en niveles estables: 61% promedio con picos del 74% durante los batch nocturnos. El umbral de alerta es 85%. No hay proyección de alcanzar ese umbral en los próximos 12 meses al ritmo de crecimiento actual. Sin embargo, la implementación de PgBouncer para connection pooling planificada para noviembre podría incrementar el uso de RAM en los servidores de base de datos en aproximadamente 4-6 GB adicionales, a confirmar con el equipo de arquitectura.</w:t>
      </w:r>
    </w:p>
    <w:p>
      <w:pPr>
        <w:spacing w:after="80"/>
      </w:pPr>
      <w:r>
        <w:t xml:space="preserve"/>
      </w:r>
    </w:p>
    <w:p>
      <w:pPr>
        <w:pStyle w:val="Heading2"/>
      </w:pPr>
      <w:r>
        <w:rPr>
          <w:rFonts w:ascii="Arial" w:cs="Arial" w:eastAsia="Arial" w:hAnsi="Arial"/>
          <w:b/>
          <w:bCs/>
          <w:color w:val="2C2C7A"/>
          <w:sz w:val="24"/>
          <w:szCs w:val="24"/>
        </w:rPr>
        <w:t xml:space="preserve">4. Eventos de Degradación del Trimestre — Análisis Forense</w:t>
      </w:r>
    </w:p>
    <w:p>
      <w:pPr>
        <w:spacing w:after="120"/>
      </w:pPr>
      <w:r>
        <w:rPr>
          <w:rFonts w:ascii="Arial" w:cs="Arial" w:eastAsia="Arial" w:hAnsi="Arial"/>
          <w:b/>
          <w:bCs/>
          <w:sz w:val="22"/>
          <w:szCs w:val="22"/>
        </w:rPr>
        <w:t xml:space="preserve">INFRA-Q3-008 — Degradación de rendimiento del storage SAN (22-23 de agosto, 2,5 hs): </w:t>
      </w:r>
      <w:r>
        <w:rPr>
          <w:rFonts w:ascii="Arial" w:cs="Arial" w:eastAsia="Arial" w:hAnsi="Arial"/>
          <w:sz w:val="22"/>
          <w:szCs w:val="22"/>
        </w:rPr>
        <w:t xml:space="preserve">A las 22:17 hs del 22 de agosto, el sistema de monitoreo detectó un incremento del 340% en los tiempos de respuesta de I/O del storage SAN utilizado por las bases de datos de producción. El análisis identificó como causa la fragmentación severa acumulada en los LUNs (Logical Unit Numbers) de la base de datos de transacciones: la fragmentación alcanzó el 78%, generando que cada operación de lectura/escritura requiriera múltiples accesos físicos al disco. La desfragmentación de emergencia (iniciada a las 22:45 hs) completó su fase crítica a la 01:12 hs del 23 de agosto. Como medida correctiva, se implementó una tarea de mantenimiento automático mensual de desfragmentación en ventana nocturna de bajo impacto. La tarea fue ejecutada por primera vez el 15 de septiembre sin incidencias.</w:t>
      </w:r>
    </w:p>
    <w:p>
      <w:pPr>
        <w:spacing w:after="80"/>
      </w:pPr>
      <w:r>
        <w:t xml:space="preserve"/>
      </w:r>
    </w:p>
    <w:p>
      <w:pPr>
        <w:spacing w:after="120"/>
      </w:pPr>
      <w:r>
        <w:rPr>
          <w:rFonts w:ascii="Arial" w:cs="Arial" w:eastAsia="Arial" w:hAnsi="Arial"/>
          <w:b/>
          <w:bCs/>
          <w:sz w:val="22"/>
          <w:szCs w:val="22"/>
        </w:rPr>
        <w:t xml:space="preserve">INFRA-Q3-012 — Lentitud del servidor de archivos históricos (15 de julio, 45 min): </w:t>
      </w:r>
      <w:r>
        <w:rPr>
          <w:rFonts w:ascii="Arial" w:cs="Arial" w:eastAsia="Arial" w:hAnsi="Arial"/>
          <w:sz w:val="22"/>
          <w:szCs w:val="22"/>
        </w:rPr>
        <w:t xml:space="preserve">Primer evento de lentitud severa del servidor NAS. Tiempos de respuesta de 35-40 segundos para operaciones de lectura de archivos de auditoría. Coincidió con el inicio del proceso mensual de indexación. En ese momento la ocupación era del 87%. No se tomaron acciones correctivas más allá de documentar el evento.</w:t>
      </w:r>
    </w:p>
    <w:p>
      <w:pPr>
        <w:spacing w:after="80"/>
      </w:pPr>
      <w:r>
        <w:t xml:space="preserve"/>
      </w:r>
    </w:p>
    <w:p>
      <w:pPr>
        <w:spacing w:after="120"/>
      </w:pPr>
      <w:r>
        <w:rPr>
          <w:rFonts w:ascii="Arial" w:cs="Arial" w:eastAsia="Arial" w:hAnsi="Arial"/>
          <w:b/>
          <w:bCs/>
          <w:sz w:val="22"/>
          <w:szCs w:val="22"/>
        </w:rPr>
        <w:t xml:space="preserve">INFRA-Q3-019 — Lentitud del servidor de archivos históricos (19 de agosto, 1,1 hs): </w:t>
      </w:r>
      <w:r>
        <w:rPr>
          <w:rFonts w:ascii="Arial" w:cs="Arial" w:eastAsia="Arial" w:hAnsi="Arial"/>
          <w:sz w:val="22"/>
          <w:szCs w:val="22"/>
        </w:rPr>
        <w:t xml:space="preserve">Segundo evento, con mayor duración (1,1 horas). La ocupación alcanzó el 88% días antes del evento. El proceso de indexación mensual generó contención de I/O que impactó las operaciones de lectura de los equipos de auditoría y cumplimiento. Post-evento se restringió el proceso de indexación a ventanas nocturnas de 02:00 a 05:00 para minimizar el impacto en usuarios.</w:t>
      </w:r>
    </w:p>
    <w:p>
      <w:pPr>
        <w:spacing w:after="80"/>
      </w:pPr>
      <w:r>
        <w:t xml:space="preserve"/>
      </w:r>
    </w:p>
    <w:p>
      <w:pPr>
        <w:spacing w:after="120"/>
      </w:pPr>
      <w:r>
        <w:rPr>
          <w:rFonts w:ascii="Arial" w:cs="Arial" w:eastAsia="Arial" w:hAnsi="Arial"/>
          <w:b/>
          <w:bCs/>
          <w:sz w:val="22"/>
          <w:szCs w:val="22"/>
        </w:rPr>
        <w:t xml:space="preserve">INFRA-Q3-027 — Lentitud del servidor de archivos históricos (23 de septiembre, 1,6 hs): </w:t>
      </w:r>
      <w:r>
        <w:rPr>
          <w:rFonts w:ascii="Arial" w:cs="Arial" w:eastAsia="Arial" w:hAnsi="Arial"/>
          <w:sz w:val="22"/>
          <w:szCs w:val="22"/>
        </w:rPr>
        <w:t xml:space="preserve">Tercer y más severo evento del trimestre (1,6 horas de lentitud). La ocupación había alcanzado el 90%. Las restricciones nocturnas del proceso de indexación no fueron suficientes: el volumen de datos a indexar creció a tal punto que el proceso no completa en la ventana nocturna asignada y continúa durante el día. Esta situación confirma que sin ampliación del espacio, los eventos de lentitud continuarán y aumentarán en frecuencia e intensidad.</w:t>
      </w:r>
    </w:p>
    <w:p>
      <w:pPr>
        <w:spacing w:after="80"/>
      </w:pPr>
      <w:r>
        <w:t xml:space="preserve"/>
      </w:r>
    </w:p>
    <w:p>
      <w:pPr>
        <w:pStyle w:val="Heading2"/>
      </w:pPr>
      <w:r>
        <w:rPr>
          <w:rFonts w:ascii="Arial" w:cs="Arial" w:eastAsia="Arial" w:hAnsi="Arial"/>
          <w:b/>
          <w:bCs/>
          <w:color w:val="2C2C7A"/>
          <w:sz w:val="24"/>
          <w:szCs w:val="24"/>
        </w:rPr>
        <w:t xml:space="preserve">5. Proyección de Demanda — Próximos 6 Meses</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1100"/>
        <w:gridCol w:w="1500"/>
        <w:gridCol w:w="1460"/>
      </w:tblGrid>
      <w:tr>
        <w:trPr>
          <w:tblHeader/>
        </w:trPr>
        <w:tc>
          <w:tcPr>
            <w:tcW w:type="dxa" w:w="2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Recurso</w:t>
            </w:r>
          </w:p>
        </w:tc>
        <w:tc>
          <w:tcPr>
            <w:tcW w:type="dxa" w:w="11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Sep-24 (actual)</w:t>
            </w:r>
          </w:p>
        </w:tc>
        <w:tc>
          <w:tcPr>
            <w:tcW w:type="dxa" w:w="11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Oct-24</w:t>
            </w:r>
          </w:p>
        </w:tc>
        <w:tc>
          <w:tcPr>
            <w:tcW w:type="dxa" w:w="11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Nov-24</w:t>
            </w:r>
          </w:p>
        </w:tc>
        <w:tc>
          <w:tcPr>
            <w:tcW w:type="dxa" w:w="11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Dic-24</w:t>
            </w:r>
          </w:p>
        </w:tc>
        <w:tc>
          <w:tcPr>
            <w:tcW w:type="dxa" w:w="11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Ene-25</w:t>
            </w:r>
          </w:p>
        </w:tc>
        <w:tc>
          <w:tcPr>
            <w:tcW w:type="dxa" w:w="15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Feb-25</w:t>
            </w:r>
          </w:p>
        </w:tc>
        <w:tc>
          <w:tcPr>
            <w:tcW w:type="dxa" w:w="14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Mar-25</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NAS almacenamiento (%)</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91,2%</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92,4%</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93,6%</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94,8%</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96% ⚠</w:t>
            </w:r>
          </w:p>
        </w:tc>
        <w:tc>
          <w:tcPr>
            <w:tcW w:type="dxa" w:w="1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97,2% 🔴</w:t>
            </w:r>
          </w:p>
        </w:tc>
      </w:tr>
      <w:tr>
        <w:trPr>
          <w:tblHeader w:val="false"/>
        </w:trPr>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CPU batch cierre mes (%)</w:t>
            </w:r>
          </w:p>
        </w:tc>
        <w:tc>
          <w:tcPr>
            <w:tcW w:type="dxa" w:w="11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82% pico</w:t>
            </w:r>
          </w:p>
        </w:tc>
        <w:tc>
          <w:tcPr>
            <w:tcW w:type="dxa" w:w="11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82%</w:t>
            </w:r>
          </w:p>
        </w:tc>
        <w:tc>
          <w:tcPr>
            <w:tcW w:type="dxa" w:w="11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83%</w:t>
            </w:r>
          </w:p>
        </w:tc>
        <w:tc>
          <w:tcPr>
            <w:tcW w:type="dxa" w:w="11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84%</w:t>
            </w:r>
          </w:p>
        </w:tc>
        <w:tc>
          <w:tcPr>
            <w:tcW w:type="dxa" w:w="11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83%</w:t>
            </w:r>
          </w:p>
        </w:tc>
        <w:tc>
          <w:tcPr>
            <w:tcW w:type="dxa" w:w="15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83%</w:t>
            </w:r>
          </w:p>
        </w:tc>
        <w:tc>
          <w:tcPr>
            <w:tcW w:type="dxa" w:w="14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85% ⚠</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Ancho de banda nocturno (%)</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71%</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72%</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73%</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74%</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82% ⚠*</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83%</w:t>
            </w:r>
          </w:p>
        </w:tc>
        <w:tc>
          <w:tcPr>
            <w:tcW w:type="dxa" w:w="1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84%</w:t>
            </w:r>
          </w:p>
        </w:tc>
      </w:tr>
    </w:tbl>
    <w:p>
      <w:pPr>
        <w:spacing w:after="80"/>
      </w:pPr>
      <w:r>
        <w:t xml:space="preserve"/>
      </w:r>
    </w:p>
    <w:p>
      <w:pPr>
        <w:spacing w:after="120"/>
      </w:pPr>
      <w:r>
        <w:rPr>
          <w:rFonts w:ascii="Arial" w:cs="Arial" w:eastAsia="Arial" w:hAnsi="Arial"/>
          <w:sz w:val="22"/>
          <w:szCs w:val="22"/>
        </w:rPr>
        <w:t xml:space="preserve">(*) El salto proyectado en ancho de banda para enero 2025 incorpora el tráfico adicional de la migración a Azure Blob Storage. Sin ampliación previa, se superaría el umbral del 80% en enero.</w:t>
      </w:r>
    </w:p>
    <w:p>
      <w:pPr>
        <w:spacing w:after="120"/>
      </w:pPr>
      <w:r>
        <w:rPr>
          <w:rFonts w:ascii="Arial" w:cs="Arial" w:eastAsia="Arial" w:hAnsi="Arial"/>
          <w:sz w:val="22"/>
          <w:szCs w:val="22"/>
        </w:rPr>
        <w:t xml:space="preserve">Los colores de alerta en la proyección (⚠ = alerta, 🔴 = crítico) indican los meses en que se superarían los umbrales operativos si no se toman acciones preventivas. El NAS es el recurso más urgente: sin intervención, febrero 2025 presentará una situación crítica que podría generar fallos en los backups y afectar la capacidad de recuperación ante desastres.</w:t>
      </w:r>
    </w:p>
    <w:p>
      <w:pPr>
        <w:spacing w:after="80"/>
      </w:pPr>
      <w:r>
        <w:t xml:space="preserve"/>
      </w:r>
    </w:p>
    <w:p>
      <w:pPr>
        <w:pStyle w:val="Heading2"/>
      </w:pPr>
      <w:r>
        <w:rPr>
          <w:rFonts w:ascii="Arial" w:cs="Arial" w:eastAsia="Arial" w:hAnsi="Arial"/>
          <w:b/>
          <w:bCs/>
          <w:color w:val="2C2C7A"/>
          <w:sz w:val="24"/>
          <w:szCs w:val="24"/>
        </w:rPr>
        <w:t xml:space="preserve">6. Opciones de Remediación Evaluadas</w:t>
      </w:r>
    </w:p>
    <w:p>
      <w:pPr>
        <w:spacing w:after="120"/>
      </w:pPr>
      <w:r>
        <w:rPr>
          <w:rFonts w:ascii="Arial" w:cs="Arial" w:eastAsia="Arial" w:hAnsi="Arial"/>
          <w:b/>
          <w:bCs/>
          <w:sz w:val="22"/>
          <w:szCs w:val="22"/>
        </w:rPr>
        <w:t xml:space="preserve">NAS — Opción A: Expansión in-house (RECOMENDADA como medida inmediata): </w:t>
      </w:r>
      <w:r>
        <w:rPr>
          <w:rFonts w:ascii="Arial" w:cs="Arial" w:eastAsia="Arial" w:hAnsi="Arial"/>
          <w:sz w:val="22"/>
          <w:szCs w:val="22"/>
        </w:rPr>
        <w:t xml:space="preserve">Contratar 10 TB adicionales en el proveedor actual de almacenamiento. Costo: $18.000 único + $800/mes de mantenimiento. Tiempo de implementación: 1 semana. Esta opción resuelve la urgencia inmediata pero no ataca la tasa de crecimiento de 1,2 TB/mes, que en 18 meses generará nuevamente la misma situación.</w:t>
      </w:r>
    </w:p>
    <w:p>
      <w:pPr>
        <w:spacing w:after="80"/>
      </w:pPr>
      <w:r>
        <w:t xml:space="preserve"/>
      </w:r>
    </w:p>
    <w:p>
      <w:pPr>
        <w:spacing w:after="120"/>
      </w:pPr>
      <w:r>
        <w:rPr>
          <w:rFonts w:ascii="Arial" w:cs="Arial" w:eastAsia="Arial" w:hAnsi="Arial"/>
          <w:b/>
          <w:bCs/>
          <w:sz w:val="22"/>
          <w:szCs w:val="22"/>
        </w:rPr>
        <w:t xml:space="preserve">NAS — Opción B: Archivado automático a Azure Blob Storage (RECOMENDADA como solución estructural): </w:t>
      </w:r>
      <w:r>
        <w:rPr>
          <w:rFonts w:ascii="Arial" w:cs="Arial" w:eastAsia="Arial" w:hAnsi="Arial"/>
          <w:sz w:val="22"/>
          <w:szCs w:val="22"/>
        </w:rPr>
        <w:t xml:space="preserve">Implementar una política de archivado automático para datos con más de 36 meses de antigüedad (estimados en 18 TB o el 40% de la capacidad actual). Costo: ~$600/mes recurrente (Azure Blob Storage, tier archivo). Tiempo de implementación: 3-4 semanas. Impacto: libera 18 TB inmediatamente y reduce la tasa de crecimiento del NAS de 1,2 TB/mes a 0,4 TB/mes, dado que los datos generados actualmente se archivan automáticamente cuando superan los 36 meses. Esta opción convierte el problema de capacidad en una solución estructural de largo plazo.</w:t>
      </w:r>
    </w:p>
    <w:p>
      <w:pPr>
        <w:spacing w:after="80"/>
      </w:pPr>
      <w:r>
        <w:t xml:space="preserve"/>
      </w:r>
    </w:p>
    <w:p>
      <w:pPr>
        <w:spacing w:after="120"/>
      </w:pPr>
      <w:r>
        <w:rPr>
          <w:rFonts w:ascii="Arial" w:cs="Arial" w:eastAsia="Arial" w:hAnsi="Arial"/>
          <w:b/>
          <w:bCs/>
          <w:sz w:val="22"/>
          <w:szCs w:val="22"/>
        </w:rPr>
        <w:t xml:space="preserve">CPU batch — Optimización de paralelización (RECOMENDADA): </w:t>
      </w:r>
      <w:r>
        <w:rPr>
          <w:rFonts w:ascii="Arial" w:cs="Arial" w:eastAsia="Arial" w:hAnsi="Arial"/>
          <w:sz w:val="22"/>
          <w:szCs w:val="22"/>
        </w:rPr>
        <w:t xml:space="preserve">El análisis del procesamiento batch revela que 3 de los 7 subprocesos nocturnos se ejecutan de manera secuencial cuando podrían ejecutarse en paralelo sin dependencia entre ellos. La paralelización de estos 3 procesos podría reducir el tiempo total de procesamiento en un 35% y el pico de CPU en aproximadamente 12 puntos porcentuales, llevándolo de 82% a ~70% en los cierres de mes.</w:t>
      </w:r>
    </w:p>
    <w:p>
      <w:pPr>
        <w:spacing w:after="80"/>
      </w:pPr>
      <w:r>
        <w:t xml:space="preserve"/>
      </w:r>
    </w:p>
    <w:p>
      <w:pPr>
        <w:spacing w:after="120"/>
      </w:pPr>
      <w:r>
        <w:rPr>
          <w:rFonts w:ascii="Arial" w:cs="Arial" w:eastAsia="Arial" w:hAnsi="Arial"/>
          <w:b/>
          <w:bCs/>
          <w:sz w:val="22"/>
          <w:szCs w:val="22"/>
        </w:rPr>
        <w:t xml:space="preserve">Red — Ampliación de ancho de banda a 25 Gbps (PRESUPUESTO 2025): </w:t>
      </w:r>
      <w:r>
        <w:rPr>
          <w:rFonts w:ascii="Arial" w:cs="Arial" w:eastAsia="Arial" w:hAnsi="Arial"/>
          <w:sz w:val="22"/>
          <w:szCs w:val="22"/>
        </w:rPr>
        <w:t xml:space="preserve">El switch de core actual tiene capacidad de expansión a 25 Gbps con la adición de módulos de uplink. Costo estimado: $28.000. La incorporación en el presupuesto 2025 permitiría ejecutar la actualización en Q1 2025, antes de que el impacto de la migración a Azure genere saturación.</w:t>
      </w:r>
    </w:p>
    <w:p>
      <w:pPr>
        <w:spacing w:after="80"/>
      </w:pPr>
      <w:r>
        <w:t xml:space="preserve"/>
      </w:r>
    </w:p>
    <w:p>
      <w:pPr>
        <w:pStyle w:val="Heading2"/>
      </w:pPr>
      <w:r>
        <w:rPr>
          <w:rFonts w:ascii="Arial" w:cs="Arial" w:eastAsia="Arial" w:hAnsi="Arial"/>
          <w:b/>
          <w:bCs/>
          <w:color w:val="2C2C7A"/>
          <w:sz w:val="24"/>
          <w:szCs w:val="24"/>
        </w:rPr>
        <w:t xml:space="preserve">7. Recomendaciones y Plan de Acción</w:t>
      </w:r>
    </w:p>
    <w:p>
      <w:pPr>
        <w:spacing w:after="120"/>
      </w:pPr>
      <w:r>
        <w:rPr>
          <w:rFonts w:ascii="Arial" w:cs="Arial" w:eastAsia="Arial" w:hAnsi="Arial"/>
          <w:b/>
          <w:bCs/>
          <w:sz w:val="22"/>
          <w:szCs w:val="22"/>
        </w:rPr>
        <w:t xml:space="preserve">URGENTE — Semana del 14 de octubre: </w:t>
      </w:r>
      <w:r>
        <w:rPr>
          <w:rFonts w:ascii="Arial" w:cs="Arial" w:eastAsia="Arial" w:hAnsi="Arial"/>
          <w:sz w:val="22"/>
          <w:szCs w:val="22"/>
        </w:rPr>
        <w:t xml:space="preserve">Contratar los 10 TB adicionales (Opción A) e iniciar el proceso de implementación de la política de archivado en Azure en paralelo. Sin esta acción inmediata, el proceso de backup automático comenzará a fallar en noviembre, generando una brecha en la política de recuperación ante desastres.</w:t>
      </w:r>
    </w:p>
    <w:p>
      <w:pPr>
        <w:spacing w:after="80"/>
      </w:pPr>
      <w:r>
        <w:t xml:space="preserve"/>
      </w:r>
    </w:p>
    <w:p>
      <w:pPr>
        <w:spacing w:after="120"/>
      </w:pPr>
      <w:r>
        <w:rPr>
          <w:rFonts w:ascii="Arial" w:cs="Arial" w:eastAsia="Arial" w:hAnsi="Arial"/>
          <w:b/>
          <w:bCs/>
          <w:sz w:val="22"/>
          <w:szCs w:val="22"/>
        </w:rPr>
        <w:t xml:space="preserve">OCTUBRE — Optimización paralelización del batch: </w:t>
      </w:r>
      <w:r>
        <w:rPr>
          <w:rFonts w:ascii="Arial" w:cs="Arial" w:eastAsia="Arial" w:hAnsi="Arial"/>
          <w:sz w:val="22"/>
          <w:szCs w:val="22"/>
        </w:rPr>
        <w:t xml:space="preserve">El equipo de Infraestructura tiene disponibilidad para este proyecto en la segunda quincena de octubre. Sin modificaciones de código en las aplicaciones (solo cambios de configuración del orquestador de tareas), el trabajo se estima en 2 semanas de un ingeniero.</w:t>
      </w:r>
    </w:p>
    <w:p>
      <w:pPr>
        <w:spacing w:after="80"/>
      </w:pPr>
      <w:r>
        <w:t xml:space="preserve"/>
      </w:r>
    </w:p>
    <w:p>
      <w:pPr>
        <w:spacing w:after="120"/>
      </w:pPr>
      <w:r>
        <w:rPr>
          <w:rFonts w:ascii="Arial" w:cs="Arial" w:eastAsia="Arial" w:hAnsi="Arial"/>
          <w:b/>
          <w:bCs/>
          <w:sz w:val="22"/>
          <w:szCs w:val="22"/>
        </w:rPr>
        <w:t xml:space="preserve">NOVIEMBRE — Completar política de archivado Azure: </w:t>
      </w:r>
      <w:r>
        <w:rPr>
          <w:rFonts w:ascii="Arial" w:cs="Arial" w:eastAsia="Arial" w:hAnsi="Arial"/>
          <w:sz w:val="22"/>
          <w:szCs w:val="22"/>
        </w:rPr>
        <w:t xml:space="preserve">La opción B debe completarse antes de que el NAS vuelva a superar el 90% (lo cual ocurrirá en aproximadamente 8 semanas aun con la expansión de la Opción A si no se implementa el archivado).</w:t>
      </w:r>
    </w:p>
    <w:p>
      <w:pPr>
        <w:spacing w:after="80"/>
      </w:pPr>
      <w:r>
        <w:t xml:space="preserve"/>
      </w:r>
    </w:p>
    <w:p>
      <w:pPr>
        <w:spacing w:after="120"/>
      </w:pPr>
      <w:r>
        <w:rPr>
          <w:rFonts w:ascii="Arial" w:cs="Arial" w:eastAsia="Arial" w:hAnsi="Arial"/>
          <w:b/>
          <w:bCs/>
          <w:sz w:val="22"/>
          <w:szCs w:val="22"/>
        </w:rPr>
        <w:t xml:space="preserve">PRESUPUESTO 2025 — Ampliación de red a 25 Gbps: </w:t>
      </w:r>
      <w:r>
        <w:rPr>
          <w:rFonts w:ascii="Arial" w:cs="Arial" w:eastAsia="Arial" w:hAnsi="Arial"/>
          <w:sz w:val="22"/>
          <w:szCs w:val="22"/>
        </w:rPr>
        <w:t xml:space="preserve">Incluir en la propuesta presupuestaria 2025 la ampliación del switch de core, con ejecución en Q1 2025 previo a la migración de datos a Azure.</w:t>
      </w:r>
    </w:p>
    <w:p>
      <w:pPr>
        <w:pBdr>
          <w:bottom w:val="single" w:color="1A1A6E" w:sz="4" w:space="1"/>
        </w:pBdr>
        <w:spacing w:after="160"/>
      </w:pPr>
      <w:r>
        <w:t xml:space="preserve"/>
      </w:r>
    </w:p>
    <w:p>
      <w:pPr>
        <w:spacing w:after="120"/>
      </w:pPr>
      <w:r>
        <w:rPr>
          <w:rFonts w:ascii="Arial" w:cs="Arial" w:eastAsia="Arial" w:hAnsi="Arial"/>
          <w:b/>
          <w:bCs/>
          <w:sz w:val="22"/>
          <w:szCs w:val="22"/>
        </w:rPr>
        <w:t xml:space="preserve">Elaborado por: </w:t>
      </w:r>
      <w:r>
        <w:rPr>
          <w:rFonts w:ascii="Arial" w:cs="Arial" w:eastAsia="Arial" w:hAnsi="Arial"/>
          <w:sz w:val="22"/>
          <w:szCs w:val="22"/>
        </w:rPr>
        <w:t xml:space="preserve">Servers &amp; Storage Technologies</w:t>
      </w:r>
    </w:p>
    <w:p>
      <w:pPr>
        <w:spacing w:after="120"/>
      </w:pPr>
      <w:r>
        <w:rPr>
          <w:rFonts w:ascii="Arial" w:cs="Arial" w:eastAsia="Arial" w:hAnsi="Arial"/>
          <w:b/>
          <w:bCs/>
          <w:sz w:val="22"/>
          <w:szCs w:val="22"/>
        </w:rPr>
        <w:t xml:space="preserve">Fecha: </w:t>
      </w:r>
      <w:r>
        <w:rPr>
          <w:rFonts w:ascii="Arial" w:cs="Arial" w:eastAsia="Arial" w:hAnsi="Arial"/>
          <w:sz w:val="22"/>
          <w:szCs w:val="22"/>
        </w:rPr>
        <w:t xml:space="preserve">11 de octubre de 2024</w:t>
      </w:r>
    </w:p>
    <w:p>
      <w:pPr>
        <w:spacing w:after="120"/>
      </w:pPr>
      <w:r>
        <w:rPr>
          <w:rFonts w:ascii="Arial" w:cs="Arial" w:eastAsia="Arial" w:hAnsi="Arial"/>
          <w:b/>
          <w:bCs/>
          <w:sz w:val="22"/>
          <w:szCs w:val="22"/>
        </w:rPr>
        <w:t xml:space="preserve">Distribución: </w:t>
      </w:r>
      <w:r>
        <w:rPr>
          <w:rFonts w:ascii="Arial" w:cs="Arial" w:eastAsia="Arial" w:hAnsi="Arial"/>
          <w:sz w:val="22"/>
          <w:szCs w:val="22"/>
        </w:rPr>
        <w:t xml:space="preserve">Comité de Tecnología, Gerencia de IT, Risk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6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2C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2026-05-25T15:52:59.970Z</dcterms:created>
  <dcterms:modified xsi:type="dcterms:W3CDTF">2026-05-25T15:52:59.970Z</dcterms:modified>
</cp:coreProperties>
</file>

<file path=docProps/custom.xml><?xml version="1.0" encoding="utf-8"?>
<Properties xmlns="http://schemas.openxmlformats.org/officeDocument/2006/custom-properties" xmlns:vt="http://schemas.openxmlformats.org/officeDocument/2006/docPropsVTypes"/>
</file>