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A6E"/>
          <w:sz w:val="28"/>
          <w:szCs w:val="28"/>
        </w:rPr>
        <w:t xml:space="preserve">Encuesta de Clima Organizacional — Resultados Anuales 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Área: </w:t>
      </w:r>
      <w:r>
        <w:rPr>
          <w:rFonts w:ascii="Arial" w:cs="Arial" w:eastAsia="Arial" w:hAnsi="Arial"/>
          <w:sz w:val="22"/>
          <w:szCs w:val="22"/>
        </w:rPr>
        <w:t xml:space="preserve">People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Período relevamiento: </w:t>
      </w:r>
      <w:r>
        <w:rPr>
          <w:rFonts w:ascii="Arial" w:cs="Arial" w:eastAsia="Arial" w:hAnsi="Arial"/>
          <w:sz w:val="22"/>
          <w:szCs w:val="22"/>
        </w:rPr>
        <w:t xml:space="preserve">Mayo – Junio 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Universo: </w:t>
      </w:r>
      <w:r>
        <w:rPr>
          <w:rFonts w:ascii="Arial" w:cs="Arial" w:eastAsia="Arial" w:hAnsi="Arial"/>
          <w:sz w:val="22"/>
          <w:szCs w:val="22"/>
        </w:rPr>
        <w:t xml:space="preserve">334 personas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Participación: </w:t>
      </w:r>
      <w:r>
        <w:rPr>
          <w:rFonts w:ascii="Arial" w:cs="Arial" w:eastAsia="Arial" w:hAnsi="Arial"/>
          <w:sz w:val="22"/>
          <w:szCs w:val="22"/>
        </w:rPr>
        <w:t xml:space="preserve">312 personas (93,4%)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Metodología: </w:t>
      </w:r>
      <w:r>
        <w:rPr>
          <w:rFonts w:ascii="Arial" w:cs="Arial" w:eastAsia="Arial" w:hAnsi="Arial"/>
          <w:sz w:val="22"/>
          <w:szCs w:val="22"/>
        </w:rPr>
        <w:t xml:space="preserve">Encuesta anónima online + grupos focales de validación</w:t>
      </w:r>
    </w:p>
    <w:p>
      <w:pPr>
        <w:pBdr>
          <w:bottom w:val="single" w:color="1A1A6E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1. Metodología y Participación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encuesta de clima 2024 se realizó entre el 6 de mayo y el 4 de junio de 2024, mediante una plataforma de encuestas anónimas. El cuestionario consistió en 42 preguntas cuantitativas (escala 1-10) y 4 preguntas abiertas. Adicionalmente, se realizaron 6 grupos focales de validación en las semanas del 10 y 17 de junio, con participación voluntaria de 48 colaboradores distribuidos por área y nivel.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área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 &amp; Administración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Finanzas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Riesgo y 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93,4%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áreas de Tecnología y Riesgo/Seguridad registraron los niveles de participación más bajos (91% y 88% respectivamente), aunque ambos se encuentran por encima del 85% considerado como mínimo para resultados representativos. El NPS más bajo también corresponde a Tecnología (38) y Operaciones (39), lo que guarda coherencia con las áreas que más mencionaron carga de trabajo y equilibrio vida-trabajo como preocupaciones.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2. Resultado General — eNPS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encuesta de clima 2024 arrojó un eNPS (Employee Net Promoter Score) de 42 puntos, sobre una escala de -100 a +100. Este resultado representa una mejora de 7 puntos respecto al año anterior (35 puntos), supera el objetivo establecido de 38 puntos y coloca a la organización por encima del benchmark del sector tecnología/fintech en Argentina (estimado en 36-38 puntos según datos de la consultora que realizó el estudio comparativo en 2023).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eNPS se calcula como la diferencia entre el porcentaje de Promotores (puntaje 9-10) y el porcentaje de Detractores (puntaje 0-6). El 61% de los encuestados son Promotores, el 20% son Neutros (7-8) y el 19% son Detractores.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Promotores (9-10)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Neutros (7-8)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Detractores (0-6)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eNPS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 pts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mayor concentración de detractores se encuentra en las áreas de Tecnología (24% de detractores) y Operaciones (22%). En ambos casos, el análisis cualitativo de las respuestas abiertas muestra que la carga de trabajo y la percepción de pocas oportunidades de crecimiento son los dos factores más mencionados por quienes dieron puntajes de 0-6.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3. Resultados por Dimensión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cuestionario evaluó 7 dimensiones clave del clima organizacional. Cada dimensión está compuesta por entre 4 y 8 preguntas. El puntaje reportado es el promedio ponderado de las preguntas de cada dimensión.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200"/>
        <w:gridCol w:w="16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sector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benchmark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Liderazgo y gestión directa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+0,5 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Desarrollo y crecimiento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+0,2 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-0,6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Comunicación interna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+0,7 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Reconocimiento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+0,1 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-0,4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Colaboración y trabajo en equipo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+0,3 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Equilibrio vida-trabajo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-0,2 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-0,3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Orgullo de pertenencia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+0,4 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PROMEDIO GENERAL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+0,29 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6,86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+0,10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4. Fortalezas Identificadas — Análisis en Profundidad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Colaboración y trabajo en equipo (8,1 — mejor resultado histórico de la organización): </w:t>
      </w:r>
      <w:r>
        <w:rPr>
          <w:rFonts w:ascii="Arial" w:cs="Arial" w:eastAsia="Arial" w:hAnsi="Arial"/>
          <w:sz w:val="22"/>
          <w:szCs w:val="22"/>
        </w:rPr>
        <w:t xml:space="preserve">Es la primera vez en los 6 años de historia de la encuesta que esta dimensión supera los 8 puntos. Los comentarios cualitativos destacan de manera recurrente tres aspectos: la solidaridad del equipo ante contextos de alta presión, la disposición de los compañeros a ayudar más allá de las responsabilidades formales, y la calidad de las relaciones interpersonales. Esto es especialmente notable considerando que el 42% de los empleados trabaja en modalidad híbrida y podría esperarse una menor cohesión. El 78% de los Promotores mencionó esta dimensión como razón principal o secundaria de su recomendación.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Orgullo de pertenencia (7,9 — +0,4 vs 2023 y +0,7 vs benchmark): </w:t>
      </w:r>
      <w:r>
        <w:rPr>
          <w:rFonts w:ascii="Arial" w:cs="Arial" w:eastAsia="Arial" w:hAnsi="Arial"/>
          <w:sz w:val="22"/>
          <w:szCs w:val="22"/>
        </w:rPr>
        <w:t xml:space="preserve">La mejora de 4 décimas respecto al año anterior es estadísticamente significativa (margen de error de la encuesta: ±0,15 puntos para el total). Los factores más citados en comentarios abiertos como fuente de orgullo son: el posicionamiento de la empresa como referente del sector de pagos digitales (mencionado por el 68% de los que dieron puntaje 9-10 en esta pregunta), el reconocimiento externo recibido en 2023 (premios del sector y cobertura positiva en medios especializados), y la percepción de que la tecnología desarrollada es de alta calidad.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Comunicación interna (6,8 — mayor mejora del año con +0,7 vs 2023): </w:t>
      </w:r>
      <w:r>
        <w:rPr>
          <w:rFonts w:ascii="Arial" w:cs="Arial" w:eastAsia="Arial" w:hAnsi="Arial"/>
          <w:sz w:val="22"/>
          <w:szCs w:val="22"/>
        </w:rPr>
        <w:t xml:space="preserve">Esta dimensión fue la de menor puntaje en 2022 (5,4) y la que más mejoró en los últimos dos años. Las iniciativas más valoradas según los comentarios abiertos son: los All Hands mensuales con el CEO (mencionados por 171 personas como la iniciativa de comunicación más valorada), el canal de novedades en Teams que reemplazó los emails masivos, y el rediseño de la intranet lanzado en octubre 2023. Un dato relevante: el 82% de los empleados indica que se entera de los cambios importantes a través de canales oficiales (vs 61% en 2022), lo que indica una mejora en la gestión de la comunicación institucional.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5. Áreas de Mejora Prioritarias — Análisis en Profundidad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Reconocimiento (5,9 — dimensión más baja y 0,4 puntos bajo el benchmark): </w:t>
      </w:r>
      <w:r>
        <w:rPr>
          <w:rFonts w:ascii="Arial" w:cs="Arial" w:eastAsia="Arial" w:hAnsi="Arial"/>
          <w:sz w:val="22"/>
          <w:szCs w:val="22"/>
        </w:rPr>
        <w:t xml:space="preserve">Es la dimensión con mayor brecha respecto al benchmark del sector y la única que casi no mejoró respecto al año anterior (+0,1). El análisis de los comentarios cualitativos revela tres tipos de reconocimiento deficitario según los encuestados: reconocimiento informal del día a día (jefes que no expresan agradecimiento verbal frecuente), reconocimiento formal por logros y proyectos (el 68% de los detractores indicó que sus logros no son visibilizados fuera de su equipo inmediato), y reconocimiento económico percibido como no vinculado al desempeño (el 54% de los encuestados no percibe conexión entre su evaluación de desempeño y su ajuste salarial). Este último punto conecta con la dimensión de Desarrollo, ya que la falta de criterios claros de progresión es citada como factor en ambas.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Desarrollo y crecimiento (6,2 — 0,6 puntos bajo el benchmark): </w:t>
      </w:r>
      <w:r>
        <w:rPr>
          <w:rFonts w:ascii="Arial" w:cs="Arial" w:eastAsia="Arial" w:hAnsi="Arial"/>
          <w:sz w:val="22"/>
          <w:szCs w:val="22"/>
        </w:rPr>
        <w:t xml:space="preserve">El análisis por antigüedad muestra un patrón claro: los empleados con menos de 2 años de antigüedad tienen una percepción de oportunidades de desarrollo significativamente más alta (6,8) que aquellos con más de 3 años (5,7). Esto sugiere que el problema no está en el discurso de desarrollo durante el reclutamiento y onboarding, sino en la capacidad de la organización de ofrecer oportunidades concretas de crecimiento después del período inicial. El 43% de los empleados con más de 3 años indica que sus posibilidades de crecimiento están estancadas; el 28% de ese grupo menciona que han explorado o están explorando opciones externas. Dado que el costo de reemplazo de un empleado experimentado es de entre 6 y 9 meses de salario, este indicador tiene un valor económico concreto.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Equilibrio vida-trabajo (6,4 — única dimensión que retrocedió, -0,2 vs 2023): </w:t>
      </w:r>
      <w:r>
        <w:rPr>
          <w:rFonts w:ascii="Arial" w:cs="Arial" w:eastAsia="Arial" w:hAnsi="Arial"/>
          <w:sz w:val="22"/>
          <w:szCs w:val="22"/>
        </w:rPr>
        <w:t xml:space="preserve">El deterioro se concentra en Tecnología (5,9) y Operaciones (6,1), las dos áreas con mayor crecimiento de carga de trabajo en 2024 como consecuencia de los nuevos proyectos e incorporaciones de clientes. El 41% de los empleados de estas áreas reporta dificultad para desconectarse fuera del horario laboral. Los comentarios cualitativos mencionan frecuentemente la expectativa implícita de disponibilidad en horarios nocturnos y fines de semana para guardias y soporte. El 31% de los encuestados de Tecnología indicó que la modalidad híbrida, en lugar de mejorar el equilibrio, lo dificultó porque disolvió los límites entre tiempo de trabajo y tiempo personal.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6. Análisis de Comentarios Cualitativos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recibieron 847 comentarios abiertos en las 4 preguntas abiertas del cuestionario. El análisis temático identifica los siguientes temas principales: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 respondentes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Sentimiento predominante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acción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de reconocimiento formal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Pedir plan de carrera estructurado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Valoración del trabajo flexible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Mantener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 de capacitaciones técnicas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Preocupación por carga de trabajo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 de más actividades de equipo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Valoración del liderazgo directo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Mantener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Pedido de mayor transparencia salarial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7. Análisis de Rotación y Riesgo de Fuga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Aunque la encuesta de clima no mide directamente la intención de renuncia, el análisis combinado de las dimensiones de menor puntaje y los comentarios cualitativos permite construir un indicador de riesgo de rotación. Los empleados con puntajes bajos en Desarrollo + Reconocimiento Y alta carga de trabajo reportada tienen un riesgo de rotación estimado significativamente mayor que el promedio.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Aplicando este modelo al universo encuestado, se identifican aproximadamente 47 empleados en la zona de alto riesgo de rotación (puntaje combinado de las 3 dimensiones en el cuartil inferior). De estos 47, el 72% tiene más de 2 años de antigüedad y un nivel de conocimiento de procesos internos difícil de reemplazar en el corto plazo. El costo estimado de su eventual salida y reemplazo, a un promedio de 7 meses de salario, asciende a aproximadamente $2,1 millones.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7A"/>
          <w:sz w:val="24"/>
          <w:szCs w:val="24"/>
        </w:rPr>
        <w:t xml:space="preserve">8. Acciones Propuestas por People para 2024-2025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Corto plazo Q3-Q4 2024: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Lanzar programa de reconocimiento entre pares en Teams (kudos digital) con visibilidad pública a nivel organización. Referencia: plataforma Kudos o módulo de Teams con bajo costo de implementación.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revisión semestral de desempeño con feedback estructurado 360°. Fecha: octubre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Comunicar a toda la organización los criterios de progresión en cada rol, antes de fin de año.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Establecer reuniones 1:1 obligatorias mensuales entre cada líder y sus reportes directos, con agenda mínima definida (objetivos, desarrollo, bienestar).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Mediano plazo H1 2025: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Diseñar y comunicar la matriz de bandas salariales y criterios de progresión salarial, diferenciando desempeño y antigüedad como factores independientes.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programa de mentoría interna: conectar empleados de más de 4 años con los de menos de 2 para transferencia de conocimiento y desarrollo de carrera.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la política de guardias y disponibilidad fuera de horario en las áreas de Tecnología y Operaciones, con el objetivo de reducir el porcentaje de empleados que reporta dificultad para desconectarse del 41% al 25%.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Lanzar plan de capacitaciones técnicas para las áreas de mayor demanda (Tecnología y Operaciones), con presupuesto dedicado y proceso de selección transparente.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área de People agradece la participación del 93,4% de la organización. Los resultados desagregados por área serán compartidos con cada líder de equipo en sesiones individuales durante la primera semana de agosto, incluyendo un plan de acción específico para su equipo.</w:t>
      </w:r>
    </w:p>
    <w:p>
      <w:pPr>
        <w:pBdr>
          <w:bottom w:val="single" w:color="1A1A6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Elaborado por: </w:t>
      </w:r>
      <w:r>
        <w:rPr>
          <w:rFonts w:ascii="Arial" w:cs="Arial" w:eastAsia="Arial" w:hAnsi="Arial"/>
          <w:sz w:val="22"/>
          <w:szCs w:val="22"/>
        </w:rPr>
        <w:t xml:space="preserve">Área de People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18 de julio de 2024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Distribución: </w:t>
      </w:r>
      <w:r>
        <w:rPr>
          <w:rFonts w:ascii="Arial" w:cs="Arial" w:eastAsia="Arial" w:hAnsi="Arial"/>
          <w:sz w:val="22"/>
          <w:szCs w:val="22"/>
        </w:rPr>
        <w:t xml:space="preserve">Comité de Dirección, todos los líderes de equipo (versión ejecutiva)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2C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2026-05-25T15:51:25.605Z</dcterms:created>
  <dcterms:modified xsi:type="dcterms:W3CDTF">2026-05-25T15:51:25.605Z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