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A1A6E"/>
          <w:sz w:val="28"/>
          <w:szCs w:val="28"/>
        </w:rPr>
        <w:t xml:space="preserve">Informe de Performance Comercial — Semestre 1 · 2024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Área: </w:t>
      </w:r>
      <w:r>
        <w:rPr>
          <w:rFonts w:ascii="Arial" w:cs="Arial" w:eastAsia="Arial" w:hAnsi="Arial"/>
          <w:sz w:val="22"/>
          <w:szCs w:val="22"/>
        </w:rPr>
        <w:t xml:space="preserve">Negocio / Issuing Digital Newpay |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Período: </w:t>
      </w:r>
      <w:r>
        <w:rPr>
          <w:rFonts w:ascii="Arial" w:cs="Arial" w:eastAsia="Arial" w:hAnsi="Arial"/>
          <w:sz w:val="22"/>
          <w:szCs w:val="22"/>
        </w:rPr>
        <w:t xml:space="preserve">Enero – Junio 2024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Distribución: </w:t>
      </w:r>
      <w:r>
        <w:rPr>
          <w:rFonts w:ascii="Arial" w:cs="Arial" w:eastAsia="Arial" w:hAnsi="Arial"/>
          <w:sz w:val="22"/>
          <w:szCs w:val="22"/>
        </w:rPr>
        <w:t xml:space="preserve">Comité de Dirección — Confidencial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Versión: </w:t>
      </w:r>
      <w:r>
        <w:rPr>
          <w:rFonts w:ascii="Arial" w:cs="Arial" w:eastAsia="Arial" w:hAnsi="Arial"/>
          <w:sz w:val="22"/>
          <w:szCs w:val="22"/>
        </w:rPr>
        <w:t xml:space="preserve">Final |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Fecha: </w:t>
      </w:r>
      <w:r>
        <w:rPr>
          <w:rFonts w:ascii="Arial" w:cs="Arial" w:eastAsia="Arial" w:hAnsi="Arial"/>
          <w:sz w:val="22"/>
          <w:szCs w:val="22"/>
        </w:rPr>
        <w:t xml:space="preserve">5 de julio de 2024</w:t>
      </w:r>
    </w:p>
    <w:p>
      <w:pPr>
        <w:pBdr>
          <w:bottom w:val="single" w:color="1A1A6E" w:sz="4" w:space="1"/>
        </w:pBd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2C7A"/>
          <w:sz w:val="24"/>
          <w:szCs w:val="24"/>
        </w:rPr>
        <w:t xml:space="preserve">1. Resultado General del Semestre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primer semestre de 2024 cerró con un volumen total de transacciones procesadas de $4.820 millones, representando un crecimiento del 11,3% respecto al mismo período de 2023 ($4.331 millones), pero con una brecha del 4,2% por debajo del presupuesto proyectado de $5.030 millones. En términos absolutos, la brecha presupuestaria representó $210 millones en volumen no capturado.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análisis de la brecha revela dos factores de distinta naturaleza. El primero, de carácter transitorio, fue la caída de volumen del segmento retail en abril (-19,3% respecto al presupuesto del mes), ocasionada por un ajuste de parámetros de riesgo en el motor de reglas anti-fraude que fue corregido en mayo. El segundo factor, estructural, es la incorporación más lenta de lo esperada de 3 clientes estratégicos del sector salud que estaban planificados para Q1 y se postergaron a Q3 por demoras en el proceso de integración técnica.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 los factores de abril neutralizados (ajuste técnico ya corregido) y los clientes de salud en proceso de incorporación activa, el segundo semestre presenta condiciones favorables para cerrar el año en línea con el presupuesto anual de $10.200 millones, o a lo sumo con una brecha de entre 1% y 2%.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2C7A"/>
          <w:sz w:val="24"/>
          <w:szCs w:val="24"/>
        </w:rPr>
        <w:t xml:space="preserve">2. Volumen de Transacciones — Desglose Mensual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60"/>
        <w:gridCol w:w="1560"/>
        <w:gridCol w:w="1400"/>
        <w:gridCol w:w="1200"/>
        <w:gridCol w:w="1400"/>
        <w:gridCol w:w="144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Volumen real ($M)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Presupuesto ($M)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Desvío ($M)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Desvío 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Variación a/a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Clientes activos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Enero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$742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-$38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-4,9%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+9,2%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1.712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Febrero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$688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-$32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-4,4%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+8,5%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1.724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Marzo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$854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$880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-$26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-3,0%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+12,1%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1.741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Abril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$880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-$170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-19,3%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+1,4%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1.758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Mayo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$902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$880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+$22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+2,5%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+16,3%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1.801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Junio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$924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$890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+$34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+3,8%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+18,1%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1.847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S1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$4.820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$5.030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-$210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-4,2%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+11,3%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1.847 (jun)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recuperación post-abril es notablemente fuerte: mayo y junio no solo recuperaron la brecha del mes de la caída sino que superaron el presupuesto en ambos meses. El crecimiento interanual de junio (+18,1%) es el más alto del año y refleja tanto la corrección de los parámetros como el efecto base favorable (junio 2023 fue un mes débil). Este momentum positivo es la base del optimismo para el segundo semestre.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2C7A"/>
          <w:sz w:val="24"/>
          <w:szCs w:val="24"/>
        </w:rPr>
        <w:t xml:space="preserve">3. Análisis por Segmento de Clientes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Retail (42% del volumen — $2.024M): </w:t>
      </w:r>
      <w:r>
        <w:rPr>
          <w:rFonts w:ascii="Arial" w:cs="Arial" w:eastAsia="Arial" w:hAnsi="Arial"/>
          <w:sz w:val="22"/>
          <w:szCs w:val="22"/>
        </w:rPr>
        <w:t xml:space="preserve">El segmento retail fue el de mayor volatilidad del semestre. Los meses enero-marzo mostraron un crecimiento moderado pero consistente (+8-12% a/a), alineado con el presupuesto. Abril fue el mes de mayor desvío: la implementación de nuevas reglas anti-fraude con umbrales conservadores generó un incremento del 28% en la tasa de rechazo del segmento retail, que tiene tickets promedio más bajos y patrones de compra que activaban las nuevas reglas. El ajuste de umbrales completado en mayo restauró la tasa de rechazo al nivel previo y el segmento cerró el semestre con un crecimiento del 7,8% a/a, por debajo del objetivo del 14%. La brecha atribuible al evento de abril equivale a aproximadamente $95 millones en volumen.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Gastronomía y entretenimiento (23% del volumen — $1.109M): </w:t>
      </w:r>
      <w:r>
        <w:rPr>
          <w:rFonts w:ascii="Arial" w:cs="Arial" w:eastAsia="Arial" w:hAnsi="Arial"/>
          <w:sz w:val="22"/>
          <w:szCs w:val="22"/>
        </w:rPr>
        <w:t xml:space="preserve">El mejor desempeño del semestre. Creció 19,4% a/a, superando el objetivo del 15% en todos los meses excepto enero. La incorporación en Q1 de 8 nuevos comercios de cadena (3 en gastronomía, 3 en cines y 2 en entretenimiento familiar) aportó un incremento de $78 millones respecto al mismo período del año anterior. El ticket promedio del segmento creció un 12% a/a, combinando inflación de precios y mayor adopción de pagos sin contacto en este tipo de comercios.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Salud (18% del volumen — $868M): </w:t>
      </w:r>
      <w:r>
        <w:rPr>
          <w:rFonts w:ascii="Arial" w:cs="Arial" w:eastAsia="Arial" w:hAnsi="Arial"/>
          <w:sz w:val="22"/>
          <w:szCs w:val="22"/>
        </w:rPr>
        <w:t xml:space="preserve">Creció 8,2% a/a, materialmente por debajo del objetivo del 18%. La brecha se explica casi en su totalidad por la demora en la incorporación de 3 clientes del sector (Clínica San Martín, Red Médica Norte y Laboratorios Bioquímicos del Sur), que representan en conjunto un potencial de $180 millones en volumen anual. Los 3 clientes completaron la firma de contratos en Q1 pero las integraciones técnicas encontraron incompatibilidades con los sistemas de facturación de las clínicas que requirieron desarrollo adicional. Se espera que los 3 estén operativos en Q3.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Otros segmentos (17% del volumen — $819M): </w:t>
      </w:r>
      <w:r>
        <w:rPr>
          <w:rFonts w:ascii="Arial" w:cs="Arial" w:eastAsia="Arial" w:hAnsi="Arial"/>
          <w:sz w:val="22"/>
          <w:szCs w:val="22"/>
        </w:rPr>
        <w:t xml:space="preserve">Crecimiento del 9,1% a/a, en línea con el presupuesto de 9,5%. Este segmento incluye servicios profesionales, educación, supermercadismo y varios. Sin sorpresas positivas ni negativas. El subsegmento de mayor crecimiento fue educación (+16%), impulsado por el inicio del ciclo académico y el mayor uso de pagos digitales en instituciones educativas.</w:t>
      </w:r>
    </w:p>
    <w:p>
      <w:pPr>
        <w:spacing w:after="8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60"/>
        <w:gridCol w:w="1200"/>
        <w:gridCol w:w="1560"/>
        <w:gridCol w:w="1560"/>
        <w:gridCol w:w="1280"/>
        <w:gridCol w:w="1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Volumen S1 ($M)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del 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Crec. a/a real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 a/a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 objetivo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Clientes activos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$2.024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+7,8%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+14%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-6,2 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681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Gastronomía y entretenimiento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$1.109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23%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+19,4%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+15%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+4,4 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312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Salud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$868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+8,2%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+18%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-9,8 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Otros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$819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+9,1%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+9,5%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-0,4 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653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$4.820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+11,3%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+16,1%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-4,8 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1.847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2C7A"/>
          <w:sz w:val="24"/>
          <w:szCs w:val="24"/>
        </w:rPr>
        <w:t xml:space="preserve">4. Indicadores de Clientes Activos y Fidelización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40"/>
        <w:gridCol w:w="1800"/>
        <w:gridCol w:w="1520"/>
        <w:gridCol w:w="1400"/>
        <w:gridCol w:w="1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Jun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Dic 2023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Jun 2023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Var. semestral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Var. a/a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Clientes activos (totales)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1.847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1.712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1.623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+7,9%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+13,8%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Clientes nuevos en el semestre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(H2 2023: 203)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+7,4%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+16,6%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Churn (bajas voluntarias)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(H2 2023: 97)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-14,4%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-8,8%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Tasa de churn semestral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4,5%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(H2 2023: 5,7%)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5,6%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-1,2 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-1,1 pp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Ticket promedio mensual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$43.800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$40.200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$38.600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+8,9%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+13,5%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NPS de clientes (encuesta jun)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+8 pts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reducción de la tasa de churn del 5,6% al 4,5% es uno de los resultados más valiosos del semestre. El análisis de cohortes muestra que el programa de fidelización para clientes con más de 3 años (lanzado en octubre 2023) está teniendo el impacto esperado: la tasa de retención de ese segmento pasó del 92% al 96%. El churn se concentra en clientes con menos de 12 meses de relación (tasa del 9,2%), lo que sugiere que el proceso de onboarding y la propuesta de valor en los primeros meses es el área de mayor oportunidad de mejora.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2C7A"/>
          <w:sz w:val="24"/>
          <w:szCs w:val="24"/>
        </w:rPr>
        <w:t xml:space="preserve">5. Iniciativas Destacadas del Semestre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Producto de cuotas sin interés para PyMEs (lanzamiento marzo): </w:t>
      </w:r>
      <w:r>
        <w:rPr>
          <w:rFonts w:ascii="Arial" w:cs="Arial" w:eastAsia="Arial" w:hAnsi="Arial"/>
          <w:sz w:val="22"/>
          <w:szCs w:val="22"/>
        </w:rPr>
        <w:t xml:space="preserve">312 clientes adheridos en los primeros 45 días, superando el objetivo de 200. El volumen generado por este producto en el semestre fue de $38,4 millones, con un ticket promedio un 62% superior al ticket promedio del segmento de PyMEs sin el producto. La tasa de uso mensual de los clientes adheridos es del 78%, significativamente por encima del 52% del segmento general.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Integración con plataformas de e-commerce (Tiendanube y MercadoShops — enero y marzo): </w:t>
      </w:r>
      <w:r>
        <w:rPr>
          <w:rFonts w:ascii="Arial" w:cs="Arial" w:eastAsia="Arial" w:hAnsi="Arial"/>
          <w:sz w:val="22"/>
          <w:szCs w:val="22"/>
        </w:rPr>
        <w:t xml:space="preserve">Las integraciones nativas con las dos principales plataformas de e-commerce del país generaron un aumento del 28% en transacciones digitales respecto al H2 2023. Se incorporaron 67 comercios nuevos solo a través del canal de integraciones de e-commerce, sin intervención del equipo comercial. El costo de adquisición por cliente de este canal es un 71% más bajo que el canal de venta directa.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Programa de fidelización para clientes con más de 3 años: </w:t>
      </w:r>
      <w:r>
        <w:rPr>
          <w:rFonts w:ascii="Arial" w:cs="Arial" w:eastAsia="Arial" w:hAnsi="Arial"/>
          <w:sz w:val="22"/>
          <w:szCs w:val="22"/>
        </w:rPr>
        <w:t xml:space="preserve">Reducción del churn del segmento de clientes maduros del 8% al 4%. El programa incluye beneficios diferenciales (atención prioritaria, fee reducido en meses de bajo volumen, acceso a productos nuevos en beta). Costo operativo del programa: $120.000 en el semestre. Valor retenido estimado (clientes que habrían dado de baja vs LTV promedio): $1,4 millones.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2C7A"/>
          <w:sz w:val="24"/>
          <w:szCs w:val="24"/>
        </w:rPr>
        <w:t xml:space="preserve">6. Análisis de la Brecha Presupuestaria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brecha de $210 millones respecto al presupuesto tiene factores de distinta naturaleza y con distinta probabilidad de recuperación: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60"/>
        <w:gridCol w:w="1760"/>
        <w:gridCol w:w="224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estimado ($M)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Recuperable en H2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requerida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Evento de abril (ajuste anti-fraude)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$95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Sí — ya recuperado en may-jun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Ninguna (ya corregido)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Demora en clientes de salud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Parcialmente — depende de timing de go-live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Acelerar integración técnica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Underperformance estructural retail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Parcialmente — requiere plan de acción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 de recuperación H2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Brecha total S1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$210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2C7A"/>
          <w:sz w:val="24"/>
          <w:szCs w:val="24"/>
        </w:rPr>
        <w:t xml:space="preserve">7. Recomendaciones para el Segundo Semestre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Asignar ejecutivo dedicado a los 3 clientes de salud pendientes: </w:t>
      </w:r>
      <w:r>
        <w:rPr>
          <w:rFonts w:ascii="Arial" w:cs="Arial" w:eastAsia="Arial" w:hAnsi="Arial"/>
          <w:sz w:val="22"/>
          <w:szCs w:val="22"/>
        </w:rPr>
        <w:t xml:space="preserve">Los 3 clientes representan $180 millones en potencial anual. Cada semana de demora adicional en el go-live cuesta aproximadamente $3,5 millones en volumen no capturado. Asignar un ejecutivo técnico-comercial dedicado exclusivamente a estos 3 onboardings hasta su activación.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Plan específico de recuperación retail para H2: </w:t>
      </w:r>
      <w:r>
        <w:rPr>
          <w:rFonts w:ascii="Arial" w:cs="Arial" w:eastAsia="Arial" w:hAnsi="Arial"/>
          <w:sz w:val="22"/>
          <w:szCs w:val="22"/>
        </w:rPr>
        <w:t xml:space="preserve">La brecha de $40 millones en retail de origen estructural requiere un plan con metas trimestrales. Propuesta: incremento de 50 clientes nuevos en el segmento retail en Q3, con foco en comercios de ticket medio-alto (electrónica, indumentaria premium) donde el impacto del ajuste anti-fraude de abril fue menor.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Expandir el producto de cuotas sin interés: </w:t>
      </w:r>
      <w:r>
        <w:rPr>
          <w:rFonts w:ascii="Arial" w:cs="Arial" w:eastAsia="Arial" w:hAnsi="Arial"/>
          <w:sz w:val="22"/>
          <w:szCs w:val="22"/>
        </w:rPr>
        <w:t xml:space="preserve">El producto mostró alta tracción. Extenderlo a los segmentos de servicios profesionales y tecnología podría incorporar entre 400 y 500 clientes adicionales en H2, con un potencial de $65-80 millones en volumen incremental.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Reducir el churn en clientes de menos de 12 meses: </w:t>
      </w:r>
      <w:r>
        <w:rPr>
          <w:rFonts w:ascii="Arial" w:cs="Arial" w:eastAsia="Arial" w:hAnsi="Arial"/>
          <w:sz w:val="22"/>
          <w:szCs w:val="22"/>
        </w:rPr>
        <w:t xml:space="preserve">La tasa de churn del 9,2% en clientes nuevos es el área de mayor pérdida relativa. Implementar un programa de onboarding estructurado con checkpoint a los 3 y 6 meses de la relación podría reducir esta tasa al 6-7%, equivalente a retener 15-20 clientes adicionales por semestre.</w:t>
      </w:r>
    </w:p>
    <w:p>
      <w:pPr>
        <w:pBdr>
          <w:bottom w:val="single" w:color="1A1A6E" w:sz="4" w:space="1"/>
        </w:pBd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Elaborado por: </w:t>
      </w:r>
      <w:r>
        <w:rPr>
          <w:rFonts w:ascii="Arial" w:cs="Arial" w:eastAsia="Arial" w:hAnsi="Arial"/>
          <w:sz w:val="22"/>
          <w:szCs w:val="22"/>
        </w:rPr>
        <w:t xml:space="preserve">Área Comercial — Newpay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Fecha: </w:t>
      </w:r>
      <w:r>
        <w:rPr>
          <w:rFonts w:ascii="Arial" w:cs="Arial" w:eastAsia="Arial" w:hAnsi="Arial"/>
          <w:sz w:val="22"/>
          <w:szCs w:val="22"/>
        </w:rPr>
        <w:t xml:space="preserve">5 de julio de 2024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Distribución: </w:t>
      </w:r>
      <w:r>
        <w:rPr>
          <w:rFonts w:ascii="Arial" w:cs="Arial" w:eastAsia="Arial" w:hAnsi="Arial"/>
          <w:sz w:val="22"/>
          <w:szCs w:val="22"/>
        </w:rPr>
        <w:t xml:space="preserve">Comité de Dirección, Gerencia Comercial, Gerencia de Operaciones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A1A6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C2C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2026-05-25T15:47:21.194Z</dcterms:created>
  <dcterms:modified xsi:type="dcterms:W3CDTF">2026-05-25T15:47:21.194Z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