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Evaluación de Vulnerabilidades — Auditoría Anual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Information Security I | </w:t>
      </w:r>
      <w:r>
        <w:rPr>
          <w:rFonts w:ascii="Arial" w:cs="Arial" w:eastAsia="Arial" w:hAnsi="Arial"/>
          <w:b/>
          <w:bCs/>
          <w:sz w:val="22"/>
          <w:szCs w:val="22"/>
        </w:rPr>
        <w:t xml:space="preserve">Período de auditoría: </w:t>
      </w:r>
      <w:r>
        <w:rPr>
          <w:rFonts w:ascii="Arial" w:cs="Arial" w:eastAsia="Arial" w:hAnsi="Arial"/>
          <w:sz w:val="22"/>
          <w:szCs w:val="22"/>
        </w:rPr>
        <w:t xml:space="preserve">Mayo – Julio 2024</w:t>
      </w:r>
    </w:p>
    <w:p>
      <w:pPr>
        <w:spacing w:after="120"/>
      </w:pPr>
      <w:r>
        <w:rPr>
          <w:rFonts w:ascii="Arial" w:cs="Arial" w:eastAsia="Arial" w:hAnsi="Arial"/>
          <w:b/>
          <w:bCs/>
          <w:sz w:val="22"/>
          <w:szCs w:val="22"/>
        </w:rPr>
        <w:t xml:space="preserve">Clasificación: </w:t>
      </w:r>
      <w:r>
        <w:rPr>
          <w:rFonts w:ascii="Arial" w:cs="Arial" w:eastAsia="Arial" w:hAnsi="Arial"/>
          <w:sz w:val="22"/>
          <w:szCs w:val="22"/>
        </w:rPr>
        <w:t xml:space="preserve">Confidencial — Comité de Riesgos y Auditoría</w:t>
      </w:r>
    </w:p>
    <w:p>
      <w:pPr>
        <w:spacing w:after="120"/>
      </w:pPr>
      <w:r>
        <w:rPr>
          <w:rFonts w:ascii="Arial" w:cs="Arial" w:eastAsia="Arial" w:hAnsi="Arial"/>
          <w:b/>
          <w:bCs/>
          <w:sz w:val="22"/>
          <w:szCs w:val="22"/>
        </w:rPr>
        <w:t xml:space="preserve">Realizado en conjunto con: </w:t>
      </w:r>
      <w:r>
        <w:rPr>
          <w:rFonts w:ascii="Arial" w:cs="Arial" w:eastAsia="Arial" w:hAnsi="Arial"/>
          <w:sz w:val="22"/>
          <w:szCs w:val="22"/>
        </w:rPr>
        <w:t xml:space="preserve">CyberAudit Partners (consultora externa)</w:t>
      </w:r>
    </w:p>
    <w:p>
      <w:pPr>
        <w:spacing w:after="120"/>
      </w:pPr>
      <w:r>
        <w:rPr>
          <w:rFonts w:ascii="Arial" w:cs="Arial" w:eastAsia="Arial" w:hAnsi="Arial"/>
          <w:b/>
          <w:bCs/>
          <w:sz w:val="22"/>
          <w:szCs w:val="22"/>
        </w:rPr>
        <w:t xml:space="preserve">Versión: </w:t>
      </w:r>
      <w:r>
        <w:rPr>
          <w:rFonts w:ascii="Arial" w:cs="Arial" w:eastAsia="Arial" w:hAnsi="Arial"/>
          <w:sz w:val="22"/>
          <w:szCs w:val="22"/>
        </w:rPr>
        <w:t xml:space="preserve">1.4 Final | </w:t>
      </w:r>
      <w:r>
        <w:rPr>
          <w:rFonts w:ascii="Arial" w:cs="Arial" w:eastAsia="Arial" w:hAnsi="Arial"/>
          <w:b/>
          <w:bCs/>
          <w:sz w:val="22"/>
          <w:szCs w:val="22"/>
        </w:rPr>
        <w:t xml:space="preserve">Fecha de emisión: </w:t>
      </w:r>
      <w:r>
        <w:rPr>
          <w:rFonts w:ascii="Arial" w:cs="Arial" w:eastAsia="Arial" w:hAnsi="Arial"/>
          <w:sz w:val="22"/>
          <w:szCs w:val="22"/>
        </w:rPr>
        <w:t xml:space="preserve">30 de julio de 2024</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Alcance y Metodología</w:t>
      </w:r>
    </w:p>
    <w:p>
      <w:pPr>
        <w:spacing w:after="120"/>
      </w:pPr>
      <w:r>
        <w:rPr>
          <w:rFonts w:ascii="Arial" w:cs="Arial" w:eastAsia="Arial" w:hAnsi="Arial"/>
          <w:sz w:val="22"/>
          <w:szCs w:val="22"/>
        </w:rPr>
        <w:t xml:space="preserve">La auditoría anual de vulnerabilidades 2024 fue ejecutada entre mayo y julio por el equipo interno de Information Security en conjunto con la consultora especializada CyberAudit Partners. Es la cuarta edición consecutiva de esta auditoría y la segunda ejecutada bajo el framework actualizado de evaluación, que desde 2023 incorpora pruebas de penetración manuales en los activos de mayor criticidad (antes solo se realizaba escaneo automatizado).</w:t>
      </w:r>
    </w:p>
    <w:p>
      <w:pPr>
        <w:spacing w:after="120"/>
      </w:pPr>
      <w:r>
        <w:rPr>
          <w:rFonts w:ascii="Arial" w:cs="Arial" w:eastAsia="Arial" w:hAnsi="Arial"/>
          <w:sz w:val="22"/>
          <w:szCs w:val="22"/>
        </w:rPr>
        <w:t xml:space="preserve">El alcance cubrió 142 activos tecnológicos críticos, un 18% más que la auditoría 2023 (120 activos), dado que el perímetro se expandió para incorporar los nuevos sistemas desplegados en 2023 (módulo de cuotas sin interés, integración con plataformas de e-commerce y entorno de DR en Azure). La inclusión de nuevos activos explica parte del aumento en el número total de vulnerabilidades detectadas.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760"/>
        <w:gridCol w:w="180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Tipo de activo</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Cantidad 2024</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Cantidad 2023</w:t>
            </w:r>
          </w:p>
        </w:tc>
        <w:tc>
          <w:tcPr>
            <w:tcW w:type="dxa" w:w="17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Cubierto con test manual</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Herramientas utilizadas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Servidores de producción (Linux/Windows)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32</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Sí (los 12 más críticos)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Nessus, OpenSCAP</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Bases de datos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Sí (todas)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Nessus, SQLMap</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Aplicaciones web internas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16</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Sí (las 8 más expuestas)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Burp Suite, OWASP ZAP</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APIs externas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Sí (todas las públicas)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Burp Suite, Postman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Infraestructura de red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(solo escaneo)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Nessus, Nmap</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Entornos cloud (Azure)</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Sí (configuraciones)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Prowler, ScoutSuite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Dispositivos de red (switches/firewalls)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(solo escaneo)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Nessus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120</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61 activos (43%)</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80"/>
      </w:pPr>
      <w:r>
        <w:t xml:space="preserve"/>
      </w:r>
    </w:p>
    <w:p>
      <w:pPr>
        <w:spacing w:after="120"/>
      </w:pPr>
      <w:r>
        <w:rPr>
          <w:rFonts w:ascii="Arial" w:cs="Arial" w:eastAsia="Arial" w:hAnsi="Arial"/>
          <w:sz w:val="22"/>
          <w:szCs w:val="22"/>
        </w:rPr>
        <w:t xml:space="preserve">El equipo de CyberAudit Partners asignó 4 consultores especializados por un total de 312 horas de trabajo (un aumento respecto a las 240 horas de 2023). La metodología de pruebas de penetración manual siguió el estándar PTES (Penetration Testing Execution Standard) para las aplicaciones web y APIs, y el framework CIS para la evaluación de configuraciones de sistemas operativos y bases de datos.</w:t>
      </w:r>
    </w:p>
    <w:p>
      <w:pPr>
        <w:spacing w:after="80"/>
      </w:pPr>
      <w:r>
        <w:t xml:space="preserve"/>
      </w:r>
    </w:p>
    <w:p>
      <w:pPr>
        <w:pStyle w:val="Heading2"/>
      </w:pPr>
      <w:r>
        <w:rPr>
          <w:rFonts w:ascii="Arial" w:cs="Arial" w:eastAsia="Arial" w:hAnsi="Arial"/>
          <w:b/>
          <w:bCs/>
          <w:color w:val="2C2C7A"/>
          <w:sz w:val="24"/>
          <w:szCs w:val="24"/>
        </w:rPr>
        <w:t xml:space="preserve">2. Resumen de Vulnerabilidades Detectadas</w:t>
      </w:r>
    </w:p>
    <w:p>
      <w:pPr>
        <w:spacing w:after="120"/>
      </w:pPr>
      <w:r>
        <w:rPr>
          <w:rFonts w:ascii="Arial" w:cs="Arial" w:eastAsia="Arial" w:hAnsi="Arial"/>
          <w:sz w:val="22"/>
          <w:szCs w:val="22"/>
        </w:rPr>
        <w:t xml:space="preserve">Se detectaron 175 vulnerabilidades en total, un incremento del 12% respecto a las 156 de 2023. Sin embargo, el incremento en números absolutos debe interpretarse en contexto: (1) el alcance aumentó un 18%, (2) las herramientas de detección son más maduras y precisas que el año anterior, y (3) el número de vulnerabilidades críticas se redujo un 42%, que es el indicador más relevante de la mejora en la postura de seguridad.</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400"/>
        <w:gridCol w:w="1400"/>
        <w:gridCol w:w="1200"/>
        <w:gridCol w:w="1160"/>
      </w:tblGrid>
      <w:tr>
        <w:trPr>
          <w:tblHeader/>
        </w:trPr>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Nivel de criticidad</w:t>
            </w:r>
          </w:p>
        </w:tc>
        <w:tc>
          <w:tcPr>
            <w:tcW w:type="dxa" w:w="1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2024</w:t>
            </w:r>
          </w:p>
        </w:tc>
        <w:tc>
          <w:tcPr>
            <w:tcW w:type="dxa" w:w="1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2023</w:t>
            </w:r>
          </w:p>
        </w:tc>
        <w:tc>
          <w:tcPr>
            <w:tcW w:type="dxa" w:w="1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2022</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Variación 24 vs 23</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Resueltas al 30-jul</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Pendientes</w:t>
            </w:r>
          </w:p>
        </w:tc>
        <w:tc>
          <w:tcPr>
            <w:tcW w:type="dxa" w:w="1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 resuelto</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Crítica</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-42% ↓</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71%</w:t>
            </w:r>
          </w:p>
        </w:tc>
      </w:tr>
      <w:tr>
        <w:trPr>
          <w:tblHeader w:val="false"/>
        </w:trPr>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Alta</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19</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61%</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54</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+13% ↑</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62%</w:t>
            </w:r>
          </w:p>
        </w:tc>
      </w:tr>
      <w:tr>
        <w:trPr>
          <w:tblHeader w:val="false"/>
        </w:trPr>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Baja</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84</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71</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66</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+18% ↑</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43</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49%</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175</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156</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164</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 ↑</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77</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56%</w:t>
            </w:r>
          </w:p>
        </w:tc>
      </w:tr>
    </w:tbl>
    <w:p>
      <w:pPr>
        <w:spacing w:after="80"/>
      </w:pPr>
      <w:r>
        <w:t xml:space="preserve"/>
      </w:r>
    </w:p>
    <w:p>
      <w:pPr>
        <w:spacing w:after="120"/>
      </w:pPr>
      <w:r>
        <w:rPr>
          <w:rFonts w:ascii="Arial" w:cs="Arial" w:eastAsia="Arial" w:hAnsi="Arial"/>
          <w:sz w:val="22"/>
          <w:szCs w:val="22"/>
        </w:rPr>
        <w:t xml:space="preserve">El índice de riesgo ponderado (que combina cantidad y criticidad usando factores: Crítica x10, Alta x5, Media x2, Baja x1) pasó de 847 puntos en 2023 a 694 puntos en 2024, una mejora del 18%. Este índice es la métrica más representativa del estado real de la postura de seguridad porque evita que el aumento en vulnerabilidades de baja criticidad enmascare las mejoras en las de mayor impacto.</w:t>
      </w:r>
    </w:p>
    <w:p>
      <w:pPr>
        <w:spacing w:after="80"/>
      </w:pPr>
      <w:r>
        <w:t xml:space="preserve"/>
      </w:r>
    </w:p>
    <w:p>
      <w:pPr>
        <w:pStyle w:val="Heading2"/>
      </w:pPr>
      <w:r>
        <w:rPr>
          <w:rFonts w:ascii="Arial" w:cs="Arial" w:eastAsia="Arial" w:hAnsi="Arial"/>
          <w:b/>
          <w:bCs/>
          <w:color w:val="2C2C7A"/>
          <w:sz w:val="24"/>
          <w:szCs w:val="24"/>
        </w:rPr>
        <w:t xml:space="preserve">3. Vulnerabilidades Críticas — Detalle Completo</w:t>
      </w:r>
    </w:p>
    <w:p>
      <w:pPr>
        <w:spacing w:after="120"/>
      </w:pPr>
      <w:r>
        <w:rPr>
          <w:rFonts w:ascii="Arial" w:cs="Arial" w:eastAsia="Arial" w:hAnsi="Arial"/>
          <w:b/>
          <w:bCs/>
          <w:sz w:val="22"/>
          <w:szCs w:val="22"/>
        </w:rPr>
        <w:t xml:space="preserve">VULN-CRIT-001 — Inyección SQL en API de consulta de saldo (RESUELTA, 18 de junio): </w:t>
      </w:r>
      <w:r>
        <w:rPr>
          <w:rFonts w:ascii="Arial" w:cs="Arial" w:eastAsia="Arial" w:hAnsi="Arial"/>
          <w:sz w:val="22"/>
          <w:szCs w:val="22"/>
        </w:rPr>
        <w:t xml:space="preserve">Detectada mediante prueba de penetración manual en la API REST de consulta de saldo de tarjetas. El parámetro 'card_id' en el endpoint /api/v2/balance no estaba sanitizado, permitiendo inyección de sentencias SQL arbitrarias. En el contexto del sistema de producción, la explotación de esta vulnerabilidad habría permitido a un atacante con acceso autenticado a la API extraer datos completos de la tabla de cuentas (número de cuenta, saldo, límite, estado). La remediación incluyó: implementación de consultas parametrizadas, revisión de todos los endpoints de la API (se encontraron 2 casos adicionales de baja criticidad) y prueba de regresión completa. Validada como resuelta mediante re-escaneo el 28 de junio.</w:t>
      </w:r>
    </w:p>
    <w:p>
      <w:pPr>
        <w:spacing w:after="80"/>
      </w:pPr>
      <w:r>
        <w:t xml:space="preserve"/>
      </w:r>
    </w:p>
    <w:p>
      <w:pPr>
        <w:spacing w:after="120"/>
      </w:pPr>
      <w:r>
        <w:rPr>
          <w:rFonts w:ascii="Arial" w:cs="Arial" w:eastAsia="Arial" w:hAnsi="Arial"/>
          <w:b/>
          <w:bCs/>
          <w:sz w:val="22"/>
          <w:szCs w:val="22"/>
        </w:rPr>
        <w:t xml:space="preserve">VULN-CRIT-002 — Deserialización insegura en servicio de sesiones (RESUELTA, 2 de julio): </w:t>
      </w:r>
      <w:r>
        <w:rPr>
          <w:rFonts w:ascii="Arial" w:cs="Arial" w:eastAsia="Arial" w:hAnsi="Arial"/>
          <w:sz w:val="22"/>
          <w:szCs w:val="22"/>
        </w:rPr>
        <w:t xml:space="preserve">El servicio de gestión de sesiones del portal de autogestión deserializaba objetos Java sin validar su integridad o tipo. Esta vulnerabilidad (clasificada en OWASP Top 10 como A08:2021) permite a un atacante que puede interceptar o modificar cookies de sesión ejecutar código arbitrario en el servidor. La explotación requiere acceso a la red interna o capacidad de interceptar el tráfico HTTPS (man-in-the-middle), lo que redujo la criticidad de explotación real pero no la criticidad del hallazgo. Remediación: reemplazo del mecanismo de serialización por tokens JWT con firma y validación de tipo estricta.</w:t>
      </w:r>
    </w:p>
    <w:p>
      <w:pPr>
        <w:spacing w:after="80"/>
      </w:pPr>
      <w:r>
        <w:t xml:space="preserve"/>
      </w:r>
    </w:p>
    <w:p>
      <w:pPr>
        <w:spacing w:after="120"/>
      </w:pPr>
      <w:r>
        <w:rPr>
          <w:rFonts w:ascii="Arial" w:cs="Arial" w:eastAsia="Arial" w:hAnsi="Arial"/>
          <w:b/>
          <w:bCs/>
          <w:sz w:val="22"/>
          <w:szCs w:val="22"/>
        </w:rPr>
        <w:t xml:space="preserve">VULN-CRIT-003 — Credenciales hardcodeadas en 3 servicios de integración (RESUELTA, 25 de junio): </w:t>
      </w:r>
      <w:r>
        <w:rPr>
          <w:rFonts w:ascii="Arial" w:cs="Arial" w:eastAsia="Arial" w:hAnsi="Arial"/>
          <w:sz w:val="22"/>
          <w:szCs w:val="22"/>
        </w:rPr>
        <w:t xml:space="preserve">Tres servicios de integración con bancos emisores contenían credenciales de acceso a bases de datos codificadas directamente en el código fuente, versionado en el repositorio de código interno. Aunque el repositorio es interno, el acceso es amplio (todos los desarrolladores), lo que representa una superficie de exposición significativa. Remediación: credenciales rotadas, código refactorizado para leer credenciales desde el gestor de secretos HashiCorp Vault, implementado en el mes de mayo. Se revisaron todos los repositorios en busca de patrones similares y se encontraron 4 casos adicionales de nivel alto que fueron corregidos en paralelo.</w:t>
      </w:r>
    </w:p>
    <w:p>
      <w:pPr>
        <w:spacing w:after="80"/>
      </w:pPr>
      <w:r>
        <w:t xml:space="preserve"/>
      </w:r>
    </w:p>
    <w:p>
      <w:pPr>
        <w:spacing w:after="120"/>
      </w:pPr>
      <w:r>
        <w:rPr>
          <w:rFonts w:ascii="Arial" w:cs="Arial" w:eastAsia="Arial" w:hAnsi="Arial"/>
          <w:b/>
          <w:bCs/>
          <w:sz w:val="22"/>
          <w:szCs w:val="22"/>
        </w:rPr>
        <w:t xml:space="preserve">VULN-CRIT-004 — Control de acceso roto en endpoint de administración (RESUELTA, 5 de julio): </w:t>
      </w:r>
      <w:r>
        <w:rPr>
          <w:rFonts w:ascii="Arial" w:cs="Arial" w:eastAsia="Arial" w:hAnsi="Arial"/>
          <w:sz w:val="22"/>
          <w:szCs w:val="22"/>
        </w:rPr>
        <w:t xml:space="preserve">El endpoint de administración /admin/users/export no verificaba el rol del usuario autenticado: cualquier usuario con una sesión válida (incluso roles de solo lectura) podía acceder al endpoint y descargar el listado completo de usuarios del sistema con sus datos (nombre, email, área, nivel de acceso). Este tipo de vulnerabilidad (Broken Access Control, OWASP A01:2021) es el más prevalente en aplicaciones web. El endpoint fue identificado mediante prueba de penetración manual; el escaneo automatizado no lo detectó porque el endpoint no figura en la documentación pública de la API. Remediación: verificación de rol implementada, endpoint restringido a rol 'security_admin'.</w:t>
      </w:r>
    </w:p>
    <w:p>
      <w:pPr>
        <w:spacing w:after="80"/>
      </w:pPr>
      <w:r>
        <w:t xml:space="preserve"/>
      </w:r>
    </w:p>
    <w:p>
      <w:pPr>
        <w:spacing w:after="120"/>
      </w:pPr>
      <w:r>
        <w:rPr>
          <w:rFonts w:ascii="Arial" w:cs="Arial" w:eastAsia="Arial" w:hAnsi="Arial"/>
          <w:b/>
          <w:bCs/>
          <w:sz w:val="22"/>
          <w:szCs w:val="22"/>
        </w:rPr>
        <w:t xml:space="preserve">VULN-CRIT-005 — Ausencia de cifrado en base de datos de logs (PENDIENTE — Q4 2024): </w:t>
      </w:r>
      <w:r>
        <w:rPr>
          <w:rFonts w:ascii="Arial" w:cs="Arial" w:eastAsia="Arial" w:hAnsi="Arial"/>
          <w:sz w:val="22"/>
          <w:szCs w:val="22"/>
        </w:rPr>
        <w:t xml:space="preserve">La base de datos de logs de transacciones almacena datos parcialmente sensibles (últimos 4 dígitos de la tarjeta, monto, categoría de comercio, timestamp, código de resultado) en texto plano, sin cifrado en reposo. Aunque la base de datos no contiene datos de titular de tarjeta completos (PAN completo), los últimos 4 dígitos combinados con otros atributos representan un riesgo regulatorio bajo la norma PCI-DSS 4.0 (requiere cifrado de todos los datos de tarjeta, incluyendo datos truncados, cuando se almacenan). La remediación requiere una ventana de mantenimiento de 48 horas para habilitar el cifrado transparente (TDE) de la base de datos. El impacto operacional es mínimo (el cifrado es transparente para las aplicaciones), pero la coordinación y la ventana de mantenimiento requieren planificación. Fecha compromiso: 30 de noviembre.</w:t>
      </w:r>
    </w:p>
    <w:p>
      <w:pPr>
        <w:spacing w:after="80"/>
      </w:pPr>
      <w:r>
        <w:t xml:space="preserve"/>
      </w:r>
    </w:p>
    <w:p>
      <w:pPr>
        <w:spacing w:after="120"/>
      </w:pPr>
      <w:r>
        <w:rPr>
          <w:rFonts w:ascii="Arial" w:cs="Arial" w:eastAsia="Arial" w:hAnsi="Arial"/>
          <w:b/>
          <w:bCs/>
          <w:sz w:val="22"/>
          <w:szCs w:val="22"/>
        </w:rPr>
        <w:t xml:space="preserve">VULN-CRIT-006 — Tokens de API sin expiración en integración legacy (RESUELTA, 10 de julio): </w:t>
      </w:r>
      <w:r>
        <w:rPr>
          <w:rFonts w:ascii="Arial" w:cs="Arial" w:eastAsia="Arial" w:hAnsi="Arial"/>
          <w:sz w:val="22"/>
          <w:szCs w:val="22"/>
        </w:rPr>
        <w:t xml:space="preserve">Tres integraciones con socios comerciales legacy utilizaban tokens de API que no tenían fecha de expiración configurada y no podían ser revocados individualmente (solo a nivel de toda la integración). Esto significa que si cualquiera de esos tokens era comprometido, el acceso no podría cortarse sin interrumpir toda la integración. Remediación: migración de las 3 integraciones a OAuth 2.0 con tokens de corta duración (1 hora) y refresh tokens revocables.</w:t>
      </w:r>
    </w:p>
    <w:p>
      <w:pPr>
        <w:spacing w:after="80"/>
      </w:pPr>
      <w:r>
        <w:t xml:space="preserve"/>
      </w:r>
    </w:p>
    <w:p>
      <w:pPr>
        <w:spacing w:after="120"/>
      </w:pPr>
      <w:r>
        <w:rPr>
          <w:rFonts w:ascii="Arial" w:cs="Arial" w:eastAsia="Arial" w:hAnsi="Arial"/>
          <w:b/>
          <w:bCs/>
          <w:sz w:val="22"/>
          <w:szCs w:val="22"/>
        </w:rPr>
        <w:t xml:space="preserve">VULN-CRIT-007 — Ausencia de rate limiting en endpoint de autenticación (PENDIENTE — noviembre 2024): </w:t>
      </w:r>
      <w:r>
        <w:rPr>
          <w:rFonts w:ascii="Arial" w:cs="Arial" w:eastAsia="Arial" w:hAnsi="Arial"/>
          <w:sz w:val="22"/>
          <w:szCs w:val="22"/>
        </w:rPr>
        <w:t xml:space="preserve">El endpoint de autenticación del portal de autogestión (/auth/login) no tiene controles de rate limiting: acepta un número ilimitado de intentos de autenticación desde la misma IP o para el mismo usuario en cualquier período de tiempo. Esto expone el sistema a ataques de fuerza bruta y de credential stuffing (prueba masiva de credenciales filtradas de otras plataformas). La explotación no requiere autenticación previa ni acceso a la red interna, lo que hace que esta sea la vulnerabilidad pendiente de mayor urgencia. Remediación en desarrollo: implementación de rate limiting a nivel de API gateway (máximo 5 intentos fallidos por IP en 5 minutos, con bloqueo temporal de 15 minutos). Estimación de deploy: 15 de noviembre.</w:t>
      </w:r>
    </w:p>
    <w:p>
      <w:pPr>
        <w:spacing w:after="80"/>
      </w:pPr>
      <w:r>
        <w:t xml:space="preserve"/>
      </w:r>
    </w:p>
    <w:p>
      <w:pPr>
        <w:pStyle w:val="Heading2"/>
      </w:pPr>
      <w:r>
        <w:rPr>
          <w:rFonts w:ascii="Arial" w:cs="Arial" w:eastAsia="Arial" w:hAnsi="Arial"/>
          <w:b/>
          <w:bCs/>
          <w:color w:val="2C2C7A"/>
          <w:sz w:val="24"/>
          <w:szCs w:val="24"/>
        </w:rPr>
        <w:t xml:space="preserve">4. Vulnerabilidades de Mayor Riesgo Acumulado — Nivel Alto</w:t>
      </w:r>
    </w:p>
    <w:p>
      <w:pPr>
        <w:spacing w:after="120"/>
      </w:pPr>
      <w:r>
        <w:rPr>
          <w:rFonts w:ascii="Arial" w:cs="Arial" w:eastAsia="Arial" w:hAnsi="Arial"/>
          <w:b/>
          <w:bCs/>
          <w:sz w:val="22"/>
          <w:szCs w:val="22"/>
        </w:rPr>
        <w:t xml:space="preserve">Configuraciones TLS desactualizadas en 9 servidores (Alto): </w:t>
      </w:r>
      <w:r>
        <w:rPr>
          <w:rFonts w:ascii="Arial" w:cs="Arial" w:eastAsia="Arial" w:hAnsi="Arial"/>
          <w:sz w:val="22"/>
          <w:szCs w:val="22"/>
        </w:rPr>
        <w:t xml:space="preserve">Nueve servidores del entorno productivo aún soportan TLS 1.0 y TLS 1.1, protocolos deprecados por la IETF en marzo de 2021 (RFC 8996) y con múltiples vulnerabilidades conocidas (POODLE, BEAST, entre otras). La deshabilitation de TLS 1.0/1.1 requiere validar que todos los clientes que se conectan a esos servidores soporten TLS 1.2 o superior. El análisis de los logs de conexión de los últimos 30 días indica que 3 socios comerciales aún realizan conexiones usando TLS 1.1, lo que hace necesaria una comunicación previa antes de deshabilitar los protocolos legacy. Plan: contactar a los 3 socios en octubre para coordinar la actualización. Meta: deshabilitar TLS 1.0/1.1 en todos los servidores antes del 31 de diciembre.</w:t>
      </w:r>
    </w:p>
    <w:p>
      <w:pPr>
        <w:spacing w:after="80"/>
      </w:pPr>
      <w:r>
        <w:t xml:space="preserve"/>
      </w:r>
    </w:p>
    <w:p>
      <w:pPr>
        <w:spacing w:after="120"/>
      </w:pPr>
      <w:r>
        <w:rPr>
          <w:rFonts w:ascii="Arial" w:cs="Arial" w:eastAsia="Arial" w:hAnsi="Arial"/>
          <w:b/>
          <w:bCs/>
          <w:sz w:val="22"/>
          <w:szCs w:val="22"/>
        </w:rPr>
        <w:t xml:space="preserve">Parches de sistema operativo pendientes en 12 servidores (Alto): </w:t>
      </w:r>
      <w:r>
        <w:rPr>
          <w:rFonts w:ascii="Arial" w:cs="Arial" w:eastAsia="Arial" w:hAnsi="Arial"/>
          <w:sz w:val="22"/>
          <w:szCs w:val="22"/>
        </w:rPr>
        <w:t xml:space="preserve">Doce servidores tienen parches de seguridad críticos de sistema operativo (Linux kernel y Windows Server) con una antigüedad de entre 90 y 210 días. En 7 de los 12 casos, la demora en la aplicación del parche se debe a incompatibilidades conocidas entre el parche y las versiones de las aplicaciones que corren en esos servidores: en 4 casos, la aplicación requiere una versión específica de librería que el parche reemplaza. El proceso de resolución requiere que los equipos de Desarrollo actualicen las dependencias antes de que Infraestructura pueda aplicar los parches. Se estableció un grupo de trabajo conjunto Infraestructura-Desarrollo para resolver las incompatibilidades, con meta de tener máximo 3 servidores con parches pendientes al 31 de diciembre.</w:t>
      </w:r>
    </w:p>
    <w:p>
      <w:pPr>
        <w:spacing w:after="80"/>
      </w:pPr>
      <w:r>
        <w:t xml:space="preserve"/>
      </w:r>
    </w:p>
    <w:p>
      <w:pPr>
        <w:spacing w:after="120"/>
      </w:pPr>
      <w:r>
        <w:rPr>
          <w:rFonts w:ascii="Arial" w:cs="Arial" w:eastAsia="Arial" w:hAnsi="Arial"/>
          <w:b/>
          <w:bCs/>
          <w:sz w:val="22"/>
          <w:szCs w:val="22"/>
        </w:rPr>
        <w:t xml:space="preserve">Exceso de permisos en cuentas de servicio (Alto — 8 casos): </w:t>
      </w:r>
      <w:r>
        <w:rPr>
          <w:rFonts w:ascii="Arial" w:cs="Arial" w:eastAsia="Arial" w:hAnsi="Arial"/>
          <w:sz w:val="22"/>
          <w:szCs w:val="22"/>
        </w:rPr>
        <w:t xml:space="preserve">Ocho cuentas de servicio utilizadas por aplicaciones para acceder a bases de datos y servicios internos tienen permisos que superan el principio de mínimo privilegio. En los casos más graves, 3 cuentas tienen permisos de administrador sobre múltiples bases de datos de producción cuando sus aplicaciones solo necesitan permisos de lectura en tablas específicas. El análisis de logs no muestra uso indebido de esos permisos excesivos, pero su existencia representa un riesgo significativo ante un escenario de compromiso de la aplicación correspondiente. Plan: revisión y ajuste de permisos de las 8 cuentas, con validación de que las aplicaciones continúan funcionando correctamente. Meta: 30 de noviembre.</w:t>
      </w:r>
    </w:p>
    <w:p>
      <w:pPr>
        <w:spacing w:after="80"/>
      </w:pPr>
      <w:r>
        <w:t xml:space="preserve"/>
      </w:r>
    </w:p>
    <w:p>
      <w:pPr>
        <w:pStyle w:val="Heading2"/>
      </w:pPr>
      <w:r>
        <w:rPr>
          <w:rFonts w:ascii="Arial" w:cs="Arial" w:eastAsia="Arial" w:hAnsi="Arial"/>
          <w:b/>
          <w:bCs/>
          <w:color w:val="2C2C7A"/>
          <w:sz w:val="24"/>
          <w:szCs w:val="24"/>
        </w:rPr>
        <w:t xml:space="preserve">5. Comparativa Histórica y Evolución del Programa</w:t>
      </w:r>
    </w:p>
    <w:p>
      <w:pPr>
        <w:spacing w:after="120"/>
      </w:pPr>
      <w:r>
        <w:rPr>
          <w:rFonts w:ascii="Arial" w:cs="Arial" w:eastAsia="Arial" w:hAnsi="Arial"/>
          <w:sz w:val="22"/>
          <w:szCs w:val="22"/>
        </w:rPr>
        <w:t xml:space="preserve">La auditoría de 2024 es la cuarta edición consecutiva, lo que permite un análisis de la tendencia del programa de seguridad a lo largo del tiempo. Los datos muestran una mejora consistente en los indicadores más relevantes: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2160"/>
      </w:tblGrid>
      <w:tr>
        <w:trPr>
          <w:tblHeader/>
        </w:trPr>
        <w:tc>
          <w:tcPr>
            <w:tcW w:type="dxa" w:w="2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2021</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2022</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2023</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2024</w:t>
            </w:r>
          </w:p>
        </w:tc>
        <w:tc>
          <w:tcPr>
            <w:tcW w:type="dxa" w:w="2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Tendencia</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Vulnerabilidades críticas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-75% en 4 años</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Índice de riesgo ponderado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1.842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1.341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847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694</w:t>
            </w:r>
          </w:p>
        </w:tc>
        <w:tc>
          <w:tcPr>
            <w:tcW w:type="dxa" w:w="2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 -62% en 4 años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críticas resueltas antes de audit. siguiente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Mejora sostenida</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Tiempo promedio remediación (crítica, días)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2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 -74% en 4 años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Activos cubiertos por auditoría</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142</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Alcance creciente</w:t>
            </w:r>
          </w:p>
        </w:tc>
      </w:tr>
    </w:tbl>
    <w:p>
      <w:pPr>
        <w:spacing w:after="80"/>
      </w:pPr>
      <w:r>
        <w:t xml:space="preserve"/>
      </w:r>
    </w:p>
    <w:p>
      <w:pPr>
        <w:spacing w:after="120"/>
      </w:pPr>
      <w:r>
        <w:rPr>
          <w:rFonts w:ascii="Arial" w:cs="Arial" w:eastAsia="Arial" w:hAnsi="Arial"/>
          <w:sz w:val="22"/>
          <w:szCs w:val="22"/>
        </w:rPr>
        <w:t xml:space="preserve">El indicador más relevante de la madurez del programa es el cierre al 100% de las vulnerabilidades críticas del año anterior antes de la siguiente auditoría. Por primera vez en la historia del programa, al inicio de la auditoría 2024 no había ninguna vulnerabilidad crítica de 2023 pendiente de resolución. Esto contrasta con 2021 y 2022, cuando entre el 20% y el 30% de las críticas seguían abiertas al inicio de la auditoría siguiente.</w:t>
      </w:r>
    </w:p>
    <w:p>
      <w:pPr>
        <w:spacing w:after="80"/>
      </w:pPr>
      <w:r>
        <w:t xml:space="preserve"/>
      </w:r>
    </w:p>
    <w:p>
      <w:pPr>
        <w:pStyle w:val="Heading2"/>
      </w:pPr>
      <w:r>
        <w:rPr>
          <w:rFonts w:ascii="Arial" w:cs="Arial" w:eastAsia="Arial" w:hAnsi="Arial"/>
          <w:b/>
          <w:bCs/>
          <w:color w:val="2C2C7A"/>
          <w:sz w:val="24"/>
          <w:szCs w:val="24"/>
        </w:rPr>
        <w:t xml:space="preserve">6. Plan de Remediación Q4 2024</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600"/>
        <w:gridCol w:w="1800"/>
        <w:gridCol w:w="156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Vulnerabilidad / Hallazgo</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Criticidad</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Responsable</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Fecha compromiso</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Estado actual</w:t>
            </w:r>
          </w:p>
        </w:tc>
        <w:tc>
          <w:tcPr>
            <w:tcW w:type="dxa" w:w="15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Riesgo de demora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Cifrado BD de logs (VULN-CRIT-005)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Crítica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IT Core + DBA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30-nov</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En planificación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Regulatorio PCI-DSS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Rate limiting endpoint auth (VULN-CRIT-007)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Crítica</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Dev + Arquitectura</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15-nov</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 desarrollo (60%)</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Explotable externamente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Desactivar TLS 1.0/1.1 (9 servidores)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Infraestructura + Socios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31-dic</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Contacto a socios oct.</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Vulnerabilidades conocidas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Parches OS pendientes (12 servidores)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Alta</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Infraestructura + Dev</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31-dic</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Grupo trabajo activo</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Vulnerabilidades kernel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Ajuste permisos cuentas servicio (8 casos)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IT Core + Dev</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30-nov</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iniciado</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Riesgo en caso de compromiso</w:t>
            </w:r>
          </w:p>
        </w:tc>
      </w:tr>
    </w:tbl>
    <w:p>
      <w:pPr>
        <w:spacing w:after="80"/>
      </w:pPr>
      <w:r>
        <w:t xml:space="preserve"/>
      </w:r>
    </w:p>
    <w:p>
      <w:pPr>
        <w:spacing w:after="120"/>
      </w:pPr>
      <w:r>
        <w:rPr>
          <w:rFonts w:ascii="Arial" w:cs="Arial" w:eastAsia="Arial" w:hAnsi="Arial"/>
          <w:sz w:val="22"/>
          <w:szCs w:val="22"/>
        </w:rPr>
        <w:t xml:space="preserve">Las dos vulnerabilidades críticas pendientes (VULN-CRIT-005 y VULN-CRIT-007) son las de mayor urgencia. La VULN-CRIT-007 (rate limiting) es especialmente crítica porque es explotable de manera remota sin autenticación: cualquier actor externo podría ejecutar un ataque de credential stuffing contra el portal de autogestión en este momento. La fecha compromiso del 15 de noviembre debe cumplirse sin excepciones.</w:t>
      </w:r>
    </w:p>
    <w:p>
      <w:pPr>
        <w:spacing w:after="80"/>
      </w:pPr>
      <w:r>
        <w:t xml:space="preserve"/>
      </w:r>
    </w:p>
    <w:p>
      <w:pPr>
        <w:pStyle w:val="Heading2"/>
      </w:pPr>
      <w:r>
        <w:rPr>
          <w:rFonts w:ascii="Arial" w:cs="Arial" w:eastAsia="Arial" w:hAnsi="Arial"/>
          <w:b/>
          <w:bCs/>
          <w:color w:val="2C2C7A"/>
          <w:sz w:val="24"/>
          <w:szCs w:val="24"/>
        </w:rPr>
        <w:t xml:space="preserve">7. Lecciones Aprendidas y Mejoras al Programa</w:t>
      </w:r>
    </w:p>
    <w:p>
      <w:pPr>
        <w:spacing w:after="120"/>
      </w:pPr>
      <w:r>
        <w:rPr>
          <w:rFonts w:ascii="Arial" w:cs="Arial" w:eastAsia="Arial" w:hAnsi="Arial"/>
          <w:b/>
          <w:bCs/>
          <w:sz w:val="22"/>
          <w:szCs w:val="22"/>
        </w:rPr>
        <w:t xml:space="preserve">1. Incorporar escaneo de secrets en CI/CD: </w:t>
      </w:r>
      <w:r>
        <w:rPr>
          <w:rFonts w:ascii="Arial" w:cs="Arial" w:eastAsia="Arial" w:hAnsi="Arial"/>
          <w:sz w:val="22"/>
          <w:szCs w:val="22"/>
        </w:rPr>
        <w:t xml:space="preserve">El hallazgo de credenciales hardcodeadas (VULN-CRIT-003) podría haberse detectado en el momento del commit si se hubiera tenido un escáner de secretos integrado en el pipeline de CI/CD. Se implementaron pre-commit hooks post-hallazgo, pero el próximo paso es integrarlo también en el pipeline de CI para mayor cobertura.</w:t>
      </w:r>
    </w:p>
    <w:p>
      <w:pPr>
        <w:spacing w:after="80"/>
      </w:pPr>
      <w:r>
        <w:t xml:space="preserve"/>
      </w:r>
    </w:p>
    <w:p>
      <w:pPr>
        <w:spacing w:after="120"/>
      </w:pPr>
      <w:r>
        <w:rPr>
          <w:rFonts w:ascii="Arial" w:cs="Arial" w:eastAsia="Arial" w:hAnsi="Arial"/>
          <w:b/>
          <w:bCs/>
          <w:sz w:val="22"/>
          <w:szCs w:val="22"/>
        </w:rPr>
        <w:t xml:space="preserve">2. Ampliar la cobertura de pruebas manuales: </w:t>
      </w:r>
      <w:r>
        <w:rPr>
          <w:rFonts w:ascii="Arial" w:cs="Arial" w:eastAsia="Arial" w:hAnsi="Arial"/>
          <w:sz w:val="22"/>
          <w:szCs w:val="22"/>
        </w:rPr>
        <w:t xml:space="preserve">El hallazgo del endpoint de administración sin control de acceso (VULN-CRIT-004) no fue detectado por el escaneo automatizado. La inversión en pruebas de penetración manual en los activos críticos demostró su valor al identificar vulnerabilidades que el escaneo no puede encontrar. Para 2025, se recomienda ampliar la cobertura de pruebas manuales del 43% al 60% de los activos.</w:t>
      </w:r>
    </w:p>
    <w:p>
      <w:pPr>
        <w:spacing w:after="80"/>
      </w:pPr>
      <w:r>
        <w:t xml:space="preserve"/>
      </w:r>
    </w:p>
    <w:p>
      <w:pPr>
        <w:spacing w:after="120"/>
      </w:pPr>
      <w:r>
        <w:rPr>
          <w:rFonts w:ascii="Arial" w:cs="Arial" w:eastAsia="Arial" w:hAnsi="Arial"/>
          <w:b/>
          <w:bCs/>
          <w:sz w:val="22"/>
          <w:szCs w:val="22"/>
        </w:rPr>
        <w:t xml:space="preserve">3. Establecer proceso de revisión de accesos previo a la auditoría: </w:t>
      </w:r>
      <w:r>
        <w:rPr>
          <w:rFonts w:ascii="Arial" w:cs="Arial" w:eastAsia="Arial" w:hAnsi="Arial"/>
          <w:sz w:val="22"/>
          <w:szCs w:val="22"/>
        </w:rPr>
        <w:t xml:space="preserve">Los excesos de permisos en cuentas de servicio son recurrentes año tras año. En lugar de resolverlos como hallazgo de auditoría, se propone implementar una revisión semestral de permisos de cuentas de servicio como control preventivo, lo que eliminaría esta categoría de los hallazgos futuros.</w:t>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Information Security I — en conjunto con CyberAudit Partners</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30 de julio de 2024</w:t>
      </w:r>
    </w:p>
    <w:p>
      <w:pPr>
        <w:spacing w:after="120"/>
      </w:pPr>
      <w:r>
        <w:rPr>
          <w:rFonts w:ascii="Arial" w:cs="Arial" w:eastAsia="Arial" w:hAnsi="Arial"/>
          <w:b/>
          <w:bCs/>
          <w:sz w:val="22"/>
          <w:szCs w:val="22"/>
        </w:rPr>
        <w:t xml:space="preserve">Próxima auditoría: </w:t>
      </w:r>
      <w:r>
        <w:rPr>
          <w:rFonts w:ascii="Arial" w:cs="Arial" w:eastAsia="Arial" w:hAnsi="Arial"/>
          <w:sz w:val="22"/>
          <w:szCs w:val="22"/>
        </w:rPr>
        <w:t xml:space="preserve">Mayo 2025</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CISO, Comité de Riesgos y Auditoría, Gerencia de Tecnología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2026-05-25T15:54:41.523Z</dcterms:created>
  <dcterms:modified xsi:type="dcterms:W3CDTF">2026-05-25T15:54:41.523Z</dcterms:modified>
</cp:coreProperties>
</file>

<file path=docProps/custom.xml><?xml version="1.0" encoding="utf-8"?>
<Properties xmlns="http://schemas.openxmlformats.org/officeDocument/2006/custom-properties" xmlns:vt="http://schemas.openxmlformats.org/officeDocument/2006/docPropsVTypes"/>
</file>