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Sonuc Odakli Benchmark Raporu</w:t>
      </w:r>
    </w:p>
    <w:p>
      <w:pPr>
        <w:jc w:val="center"/>
      </w:pPr>
      <w:r>
        <w:t>Yeni Jenness Turevi Yontemin Sonuclar Uzerinden Degerlendirilmesi</w:t>
      </w:r>
    </w:p>
    <w:p>
      <w:pPr>
        <w:jc w:val="center"/>
      </w:pPr>
      <w:r>
        <w:t>Tarih: 2026-03-23</w:t>
        <w:br/>
      </w:r>
      <w:r>
        <w:t>Kaynak: sonuclar_out_/batch_summary.xlsx ve per-run sonuclar</w:t>
      </w:r>
    </w:p>
    <w:p>
      <w:r>
        <w:br w:type="page"/>
      </w:r>
    </w:p>
    <w:p>
      <w:pPr>
        <w:pStyle w:val="Heading1"/>
      </w:pPr>
      <w:r>
        <w:t>1. Sonuc Ozeti</w:t>
      </w:r>
    </w:p>
    <w:p>
      <w:r>
        <w:t>Bu rapor yalnizca sayisal sonuclara odaklanir. Deney duzeni, kod mimarisi ve uygulama ayrintilari geri plana alinmis; bunun yerine benchmark ciktisinin bize ne soyledigi, ozellikle de yeni Jenness turevi yontemin pratik olarak ne kazandirdigi tartisilmistir.</w:t>
      </w:r>
    </w:p>
    <w:p>
      <w:pPr>
        <w:pStyle w:val="ListBullet"/>
      </w:pPr>
      <w:r>
        <w:t>Toplam degerlendirme alanlarinda genel lider Klasik Jenness 8-Triangle: 88 karsilastirmanin 77'sinde en dusuk hata.</w:t>
      </w:r>
    </w:p>
    <w:p>
      <w:pPr>
        <w:pStyle w:val="ListBullet"/>
      </w:pPr>
      <w:r>
        <w:t>Yeni Jenness turevi yalnizca 88 karsilastirmanin 6'sinda klasik Jenness'ten daha iyi; bunlarin yalniz 2 tanesi anlamli ustunluk uretir.</w:t>
      </w:r>
    </w:p>
    <w:p>
      <w:pPr>
        <w:pStyle w:val="ListBullet"/>
      </w:pPr>
      <w:r>
        <w:t>Yeni Jenness turevi klasik Jenness'e gore medyan olarak yaklasik 27.7 kat daha yavas.</w:t>
      </w:r>
    </w:p>
    <w:p>
      <w:pPr>
        <w:pStyle w:val="ListBullet"/>
      </w:pPr>
      <w:r>
        <w:t>Yeni yontem, Gradient Multiplier'a karsi daha dogru olsa da bu kazanimin bedeli medyan 160.6 kat ek runtime.</w:t>
      </w:r>
    </w:p>
    <w:p>
      <w:pPr>
        <w:pStyle w:val="ListBullet"/>
      </w:pPr>
      <w:r>
        <w:t>Bu benchmark setinde yeni yontem genel-purpose bir replacement gibi degil, belirli zor karisik yuzeyler icin nis alan araci gibi davranir.</w:t>
      </w:r>
    </w:p>
    <w:p>
      <w:pPr>
        <w:pStyle w:val="Heading1"/>
      </w:pPr>
      <w:r>
        <w:t>2. Degerlendirme Kapsami</w:t>
      </w:r>
    </w:p>
    <w:tbl>
      <w:tblPr>
        <w:tblStyle w:val="TableGrid"/>
        <w:tblW w:type="auto" w:w="0"/>
        <w:jc w:val="center"/>
        <w:tblLook w:firstColumn="1" w:firstRow="1" w:lastColumn="0" w:lastRow="0" w:noHBand="0" w:noVBand="1" w:val="04A0"/>
      </w:tblPr>
      <w:tblGrid>
        <w:gridCol w:w="4762"/>
        <w:gridCol w:w="4762"/>
      </w:tblGrid>
      <w:tr>
        <w:tc>
          <w:tcPr>
            <w:tcW w:type="dxa" w:w="3402"/>
            <w:shd w:fill="D9EAF7"/>
          </w:tcPr>
          <w:p>
            <w:r>
              <w:rPr>
                <w:rFonts w:ascii="Calibri" w:hAnsi="Calibri"/>
                <w:b/>
                <w:sz w:val="18"/>
              </w:rPr>
              <w:t>Olcut</w:t>
            </w:r>
          </w:p>
        </w:tc>
        <w:tc>
          <w:tcPr>
            <w:tcW w:type="dxa" w:w="5556"/>
            <w:shd w:fill="D9EAF7"/>
          </w:tcPr>
          <w:p>
            <w:r>
              <w:rPr>
                <w:rFonts w:ascii="Calibri" w:hAnsi="Calibri"/>
                <w:b/>
                <w:sz w:val="18"/>
              </w:rPr>
              <w:t>Deger</w:t>
            </w:r>
          </w:p>
        </w:tc>
      </w:tr>
      <w:tr>
        <w:tc>
          <w:tcPr>
            <w:tcW w:type="dxa" w:w="3402"/>
          </w:tcPr>
          <w:p>
            <w:r>
              <w:rPr>
                <w:rFonts w:ascii="Calibri" w:hAnsi="Calibri"/>
                <w:sz w:val="18"/>
              </w:rPr>
              <w:t>Senaryo sayisi</w:t>
            </w:r>
          </w:p>
        </w:tc>
        <w:tc>
          <w:tcPr>
            <w:tcW w:type="dxa" w:w="5556"/>
          </w:tcPr>
          <w:p>
            <w:r>
              <w:rPr>
                <w:rFonts w:ascii="Calibri" w:hAnsi="Calibri"/>
                <w:sz w:val="18"/>
              </w:rPr>
              <w:t>24</w:t>
            </w:r>
          </w:p>
        </w:tc>
      </w:tr>
      <w:tr>
        <w:tc>
          <w:tcPr>
            <w:tcW w:type="dxa" w:w="3402"/>
          </w:tcPr>
          <w:p>
            <w:r>
              <w:rPr>
                <w:rFonts w:ascii="Calibri" w:hAnsi="Calibri"/>
                <w:sz w:val="18"/>
              </w:rPr>
              <w:t>Toplam aktif yontem</w:t>
            </w:r>
          </w:p>
        </w:tc>
        <w:tc>
          <w:tcPr>
            <w:tcW w:type="dxa" w:w="5556"/>
          </w:tcPr>
          <w:p>
            <w:r>
              <w:rPr>
                <w:rFonts w:ascii="Calibri" w:hAnsi="Calibri"/>
                <w:sz w:val="18"/>
              </w:rPr>
              <w:t>4</w:t>
            </w:r>
          </w:p>
        </w:tc>
      </w:tr>
      <w:tr>
        <w:tc>
          <w:tcPr>
            <w:tcW w:type="dxa" w:w="3402"/>
          </w:tcPr>
          <w:p>
            <w:r>
              <w:rPr>
                <w:rFonts w:ascii="Calibri" w:hAnsi="Calibri"/>
                <w:sz w:val="18"/>
              </w:rPr>
              <w:t>Toplam GSD</w:t>
            </w:r>
          </w:p>
        </w:tc>
        <w:tc>
          <w:tcPr>
            <w:tcW w:type="dxa" w:w="5556"/>
          </w:tcPr>
          <w:p>
            <w:r>
              <w:rPr>
                <w:rFonts w:ascii="Calibri" w:hAnsi="Calibri"/>
                <w:sz w:val="18"/>
              </w:rPr>
              <w:t>9</w:t>
            </w:r>
          </w:p>
        </w:tc>
      </w:tr>
      <w:tr>
        <w:tc>
          <w:tcPr>
            <w:tcW w:type="dxa" w:w="3402"/>
          </w:tcPr>
          <w:p>
            <w:r>
              <w:rPr>
                <w:rFonts w:ascii="Calibri" w:hAnsi="Calibri"/>
                <w:sz w:val="18"/>
              </w:rPr>
              <w:t>Referansli karsilastirma sayisi</w:t>
            </w:r>
          </w:p>
        </w:tc>
        <w:tc>
          <w:tcPr>
            <w:tcW w:type="dxa" w:w="5556"/>
          </w:tcPr>
          <w:p>
            <w:r>
              <w:rPr>
                <w:rFonts w:ascii="Calibri" w:hAnsi="Calibri"/>
                <w:sz w:val="18"/>
              </w:rPr>
              <w:t>88</w:t>
            </w:r>
          </w:p>
        </w:tc>
      </w:tr>
      <w:tr>
        <w:tc>
          <w:tcPr>
            <w:tcW w:type="dxa" w:w="3402"/>
          </w:tcPr>
          <w:p>
            <w:r>
              <w:rPr>
                <w:rFonts w:ascii="Calibri" w:hAnsi="Calibri"/>
                <w:sz w:val="18"/>
              </w:rPr>
              <w:t>Analitik yuzey sayisi</w:t>
            </w:r>
          </w:p>
        </w:tc>
        <w:tc>
          <w:tcPr>
            <w:tcW w:type="dxa" w:w="5556"/>
          </w:tcPr>
          <w:p>
            <w:r>
              <w:rPr>
                <w:rFonts w:ascii="Calibri" w:hAnsi="Calibri"/>
                <w:sz w:val="18"/>
              </w:rPr>
              <w:t>8</w:t>
            </w:r>
          </w:p>
        </w:tc>
      </w:tr>
      <w:tr>
        <w:tc>
          <w:tcPr>
            <w:tcW w:type="dxa" w:w="3402"/>
          </w:tcPr>
          <w:p>
            <w:r>
              <w:rPr>
                <w:rFonts w:ascii="Calibri" w:hAnsi="Calibri"/>
                <w:sz w:val="18"/>
              </w:rPr>
              <w:t>Native GSD</w:t>
            </w:r>
          </w:p>
        </w:tc>
        <w:tc>
          <w:tcPr>
            <w:tcW w:type="dxa" w:w="5556"/>
          </w:tcPr>
          <w:p>
            <w:r>
              <w:rPr>
                <w:rFonts w:ascii="Calibri" w:hAnsi="Calibri"/>
                <w:sz w:val="18"/>
              </w:rPr>
              <w:t>0.05 m</w:t>
            </w:r>
          </w:p>
        </w:tc>
      </w:tr>
    </w:tbl>
    <w:p>
      <w:pPr>
        <w:pStyle w:val="Heading1"/>
      </w:pPr>
      <w:r>
        <w:t>3. Butun Yontemler Arasinda Genel Sonuc</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3061"/>
            <w:shd w:fill="D9EAF7"/>
          </w:tcPr>
          <w:p>
            <w:r>
              <w:rPr>
                <w:rFonts w:ascii="Calibri" w:hAnsi="Calibri"/>
                <w:b/>
                <w:sz w:val="18"/>
              </w:rPr>
              <w:t>Yontem</w:t>
            </w:r>
          </w:p>
        </w:tc>
        <w:tc>
          <w:tcPr>
            <w:tcW w:type="dxa" w:w="1928"/>
            <w:shd w:fill="D9EAF7"/>
          </w:tcPr>
          <w:p>
            <w:r>
              <w:rPr>
                <w:rFonts w:ascii="Calibri" w:hAnsi="Calibri"/>
                <w:b/>
                <w:sz w:val="18"/>
              </w:rPr>
              <w:t>Native medyan hata</w:t>
            </w:r>
          </w:p>
        </w:tc>
        <w:tc>
          <w:tcPr>
            <w:tcW w:type="dxa" w:w="1928"/>
            <w:shd w:fill="D9EAF7"/>
          </w:tcPr>
          <w:p>
            <w:r>
              <w:rPr>
                <w:rFonts w:ascii="Calibri" w:hAnsi="Calibri"/>
                <w:b/>
                <w:sz w:val="18"/>
              </w:rPr>
              <w:t>Native ort. hata</w:t>
            </w:r>
          </w:p>
        </w:tc>
        <w:tc>
          <w:tcPr>
            <w:tcW w:type="dxa" w:w="1814"/>
            <w:shd w:fill="D9EAF7"/>
          </w:tcPr>
          <w:p>
            <w:r>
              <w:rPr>
                <w:rFonts w:ascii="Calibri" w:hAnsi="Calibri"/>
                <w:b/>
                <w:sz w:val="18"/>
              </w:rPr>
              <w:t>Native medyan runtime</w:t>
            </w:r>
          </w:p>
        </w:tc>
      </w:tr>
      <w:tr>
        <w:tc>
          <w:tcPr>
            <w:tcW w:type="dxa" w:w="3061"/>
          </w:tcPr>
          <w:p>
            <w:r>
              <w:rPr>
                <w:rFonts w:ascii="Calibri" w:hAnsi="Calibri"/>
                <w:sz w:val="18"/>
              </w:rPr>
              <w:t>Klasik Jenness 8-Triangle</w:t>
            </w:r>
          </w:p>
        </w:tc>
        <w:tc>
          <w:tcPr>
            <w:tcW w:type="dxa" w:w="1928"/>
          </w:tcPr>
          <w:p>
            <w:r>
              <w:rPr>
                <w:rFonts w:ascii="Calibri" w:hAnsi="Calibri"/>
                <w:sz w:val="18"/>
              </w:rPr>
              <w:t>0.0191%</w:t>
            </w:r>
          </w:p>
        </w:tc>
        <w:tc>
          <w:tcPr>
            <w:tcW w:type="dxa" w:w="1928"/>
          </w:tcPr>
          <w:p>
            <w:r>
              <w:rPr>
                <w:rFonts w:ascii="Calibri" w:hAnsi="Calibri"/>
                <w:sz w:val="18"/>
              </w:rPr>
              <w:t>0.1489%</w:t>
            </w:r>
          </w:p>
        </w:tc>
        <w:tc>
          <w:tcPr>
            <w:tcW w:type="dxa" w:w="1814"/>
          </w:tcPr>
          <w:p>
            <w:r>
              <w:rPr>
                <w:rFonts w:ascii="Calibri" w:hAnsi="Calibri"/>
                <w:sz w:val="18"/>
              </w:rPr>
              <w:t>1.01 dk</w:t>
            </w:r>
          </w:p>
        </w:tc>
      </w:tr>
      <w:tr>
        <w:tc>
          <w:tcPr>
            <w:tcW w:type="dxa" w:w="3061"/>
          </w:tcPr>
          <w:p>
            <w:r>
              <w:rPr>
                <w:rFonts w:ascii="Calibri" w:hAnsi="Calibri"/>
                <w:sz w:val="18"/>
              </w:rPr>
              <w:t>TIN 2-Triangle</w:t>
            </w:r>
          </w:p>
        </w:tc>
        <w:tc>
          <w:tcPr>
            <w:tcW w:type="dxa" w:w="1928"/>
          </w:tcPr>
          <w:p>
            <w:r>
              <w:rPr>
                <w:rFonts w:ascii="Calibri" w:hAnsi="Calibri"/>
                <w:sz w:val="18"/>
              </w:rPr>
              <w:t>0.0526%</w:t>
            </w:r>
          </w:p>
        </w:tc>
        <w:tc>
          <w:tcPr>
            <w:tcW w:type="dxa" w:w="1928"/>
          </w:tcPr>
          <w:p>
            <w:r>
              <w:rPr>
                <w:rFonts w:ascii="Calibri" w:hAnsi="Calibri"/>
                <w:sz w:val="18"/>
              </w:rPr>
              <w:t>0.5522%</w:t>
            </w:r>
          </w:p>
        </w:tc>
        <w:tc>
          <w:tcPr>
            <w:tcW w:type="dxa" w:w="1814"/>
          </w:tcPr>
          <w:p>
            <w:r>
              <w:rPr>
                <w:rFonts w:ascii="Calibri" w:hAnsi="Calibri"/>
                <w:sz w:val="18"/>
              </w:rPr>
              <w:t>15.297 sn</w:t>
            </w:r>
          </w:p>
        </w:tc>
      </w:tr>
      <w:tr>
        <w:tc>
          <w:tcPr>
            <w:tcW w:type="dxa" w:w="3061"/>
          </w:tcPr>
          <w:p>
            <w:r>
              <w:rPr>
                <w:rFonts w:ascii="Calibri" w:hAnsi="Calibri"/>
                <w:sz w:val="18"/>
              </w:rPr>
              <w:t>Yeni Jenness Turevi (Sector-Adaptive)</w:t>
            </w:r>
          </w:p>
        </w:tc>
        <w:tc>
          <w:tcPr>
            <w:tcW w:type="dxa" w:w="1928"/>
          </w:tcPr>
          <w:p>
            <w:r>
              <w:rPr>
                <w:rFonts w:ascii="Calibri" w:hAnsi="Calibri"/>
                <w:sz w:val="18"/>
              </w:rPr>
              <w:t>0.0617%</w:t>
            </w:r>
          </w:p>
        </w:tc>
        <w:tc>
          <w:tcPr>
            <w:tcW w:type="dxa" w:w="1928"/>
          </w:tcPr>
          <w:p>
            <w:r>
              <w:rPr>
                <w:rFonts w:ascii="Calibri" w:hAnsi="Calibri"/>
                <w:sz w:val="18"/>
              </w:rPr>
              <w:t>0.5394%</w:t>
            </w:r>
          </w:p>
        </w:tc>
        <w:tc>
          <w:tcPr>
            <w:tcW w:type="dxa" w:w="1814"/>
          </w:tcPr>
          <w:p>
            <w:r>
              <w:rPr>
                <w:rFonts w:ascii="Calibri" w:hAnsi="Calibri"/>
                <w:sz w:val="18"/>
              </w:rPr>
              <w:t>36.22 dk</w:t>
            </w:r>
          </w:p>
        </w:tc>
      </w:tr>
      <w:tr>
        <w:tc>
          <w:tcPr>
            <w:tcW w:type="dxa" w:w="3061"/>
          </w:tcPr>
          <w:p>
            <w:r>
              <w:rPr>
                <w:rFonts w:ascii="Calibri" w:hAnsi="Calibri"/>
                <w:sz w:val="18"/>
              </w:rPr>
              <w:t>Gradient Multiplier</w:t>
            </w:r>
          </w:p>
        </w:tc>
        <w:tc>
          <w:tcPr>
            <w:tcW w:type="dxa" w:w="1928"/>
          </w:tcPr>
          <w:p>
            <w:r>
              <w:rPr>
                <w:rFonts w:ascii="Calibri" w:hAnsi="Calibri"/>
                <w:sz w:val="18"/>
              </w:rPr>
              <w:t>0.0667%</w:t>
            </w:r>
          </w:p>
        </w:tc>
        <w:tc>
          <w:tcPr>
            <w:tcW w:type="dxa" w:w="1928"/>
          </w:tcPr>
          <w:p>
            <w:r>
              <w:rPr>
                <w:rFonts w:ascii="Calibri" w:hAnsi="Calibri"/>
                <w:sz w:val="18"/>
              </w:rPr>
              <w:t>0.6834%</w:t>
            </w:r>
          </w:p>
        </w:tc>
        <w:tc>
          <w:tcPr>
            <w:tcW w:type="dxa" w:w="1814"/>
          </w:tcPr>
          <w:p>
            <w:r>
              <w:rPr>
                <w:rFonts w:ascii="Calibri" w:hAnsi="Calibri"/>
                <w:sz w:val="18"/>
              </w:rPr>
              <w:t>6.208 sn</w:t>
            </w:r>
          </w:p>
        </w:tc>
      </w:tr>
    </w:tbl>
    <w:p/>
    <w:tbl>
      <w:tblPr>
        <w:tblStyle w:val="TableGrid"/>
        <w:tblW w:type="auto" w:w="0"/>
        <w:jc w:val="center"/>
        <w:tblLook w:firstColumn="1" w:firstRow="1" w:lastColumn="0" w:lastRow="0" w:noHBand="0" w:noVBand="1" w:val="04A0"/>
      </w:tblPr>
      <w:tblGrid>
        <w:gridCol w:w="4762"/>
        <w:gridCol w:w="4762"/>
      </w:tblGrid>
      <w:tr>
        <w:tc>
          <w:tcPr>
            <w:tcW w:type="dxa" w:w="4876"/>
            <w:shd w:fill="D9EAF7"/>
          </w:tcPr>
          <w:p>
            <w:r>
              <w:rPr>
                <w:rFonts w:ascii="Calibri" w:hAnsi="Calibri"/>
                <w:b/>
                <w:sz w:val="18"/>
              </w:rPr>
              <w:t>Alan bazli birincilik</w:t>
            </w:r>
          </w:p>
        </w:tc>
        <w:tc>
          <w:tcPr>
            <w:tcW w:type="dxa" w:w="1928"/>
            <w:shd w:fill="D9EAF7"/>
          </w:tcPr>
          <w:p>
            <w:r>
              <w:rPr>
                <w:rFonts w:ascii="Calibri" w:hAnsi="Calibri"/>
                <w:b/>
                <w:sz w:val="18"/>
              </w:rPr>
              <w:t>Kazanma sayisi</w:t>
            </w:r>
          </w:p>
        </w:tc>
      </w:tr>
      <w:tr>
        <w:tc>
          <w:tcPr>
            <w:tcW w:type="dxa" w:w="4876"/>
          </w:tcPr>
          <w:p>
            <w:r>
              <w:rPr>
                <w:rFonts w:ascii="Calibri" w:hAnsi="Calibri"/>
                <w:sz w:val="18"/>
              </w:rPr>
              <w:t>Klasik Jenness 8-Triangle</w:t>
            </w:r>
          </w:p>
        </w:tc>
        <w:tc>
          <w:tcPr>
            <w:tcW w:type="dxa" w:w="1928"/>
          </w:tcPr>
          <w:p>
            <w:r>
              <w:rPr>
                <w:rFonts w:ascii="Calibri" w:hAnsi="Calibri"/>
                <w:sz w:val="18"/>
              </w:rPr>
              <w:t>77</w:t>
            </w:r>
          </w:p>
        </w:tc>
      </w:tr>
      <w:tr>
        <w:tc>
          <w:tcPr>
            <w:tcW w:type="dxa" w:w="4876"/>
          </w:tcPr>
          <w:p>
            <w:r>
              <w:rPr>
                <w:rFonts w:ascii="Calibri" w:hAnsi="Calibri"/>
                <w:sz w:val="18"/>
              </w:rPr>
              <w:t>Gradient Multiplier</w:t>
            </w:r>
          </w:p>
        </w:tc>
        <w:tc>
          <w:tcPr>
            <w:tcW w:type="dxa" w:w="1928"/>
          </w:tcPr>
          <w:p>
            <w:r>
              <w:rPr>
                <w:rFonts w:ascii="Calibri" w:hAnsi="Calibri"/>
                <w:sz w:val="18"/>
              </w:rPr>
              <w:t>9</w:t>
            </w:r>
          </w:p>
        </w:tc>
      </w:tr>
      <w:tr>
        <w:tc>
          <w:tcPr>
            <w:tcW w:type="dxa" w:w="4876"/>
          </w:tcPr>
          <w:p>
            <w:r>
              <w:rPr>
                <w:rFonts w:ascii="Calibri" w:hAnsi="Calibri"/>
                <w:sz w:val="18"/>
              </w:rPr>
              <w:t>Yeni Jenness Turevi (Sector-Adaptive)</w:t>
            </w:r>
          </w:p>
        </w:tc>
        <w:tc>
          <w:tcPr>
            <w:tcW w:type="dxa" w:w="1928"/>
          </w:tcPr>
          <w:p>
            <w:r>
              <w:rPr>
                <w:rFonts w:ascii="Calibri" w:hAnsi="Calibri"/>
                <w:sz w:val="18"/>
              </w:rPr>
              <w:t>2</w:t>
            </w:r>
          </w:p>
        </w:tc>
      </w:tr>
    </w:tbl>
    <w:p/>
    <w:p>
      <w:r>
        <w:drawing>
          <wp:inline xmlns:a="http://schemas.openxmlformats.org/drawingml/2006/main" xmlns:pic="http://schemas.openxmlformats.org/drawingml/2006/picture">
            <wp:extent cx="5616000" cy="3510000"/>
            <wp:docPr id="1" name="Picture 1"/>
            <wp:cNvGraphicFramePr>
              <a:graphicFrameLocks noChangeAspect="1"/>
            </wp:cNvGraphicFramePr>
            <a:graphic>
              <a:graphicData uri="http://schemas.openxmlformats.org/drawingml/2006/picture">
                <pic:pic>
                  <pic:nvPicPr>
                    <pic:cNvPr id="0" name="native_tradeoff.png"/>
                    <pic:cNvPicPr/>
                  </pic:nvPicPr>
                  <pic:blipFill>
                    <a:blip r:embed="rId9"/>
                    <a:stretch>
                      <a:fillRect/>
                    </a:stretch>
                  </pic:blipFill>
                  <pic:spPr>
                    <a:xfrm>
                      <a:off x="0" y="0"/>
                      <a:ext cx="5616000" cy="3510000"/>
                    </a:xfrm>
                    <a:prstGeom prst="rect"/>
                  </pic:spPr>
                </pic:pic>
              </a:graphicData>
            </a:graphic>
          </wp:inline>
        </w:drawing>
      </w:r>
    </w:p>
    <w:p>
      <w:pPr>
        <w:jc w:val="center"/>
      </w:pPr>
      <w:r>
        <w:rPr>
          <w:i/>
          <w:sz w:val="18"/>
        </w:rPr>
        <w:t>Sekil 1. Native seviyede tum yontemlerin dogruluk-hiz dengesi.</w:t>
      </w:r>
    </w:p>
    <w:p>
      <w:r>
        <w:t>Native seviyede tablo nettir: klasik Jenness hem en dusuk medyan hatayi verir hem de yeni Jenness turevinden cok daha dusuk runtime ile calisir. Yeni yontem, TIN ve Gradient'e gore daha sofistike olmasina ragmen bu benchmark setinde en iyi genel dengeyi kuran yontem klasik Jenness olmustur.</w:t>
      </w:r>
    </w:p>
    <w:p>
      <w:pPr>
        <w:pStyle w:val="Heading1"/>
      </w:pPr>
      <w:r>
        <w:t>4. Yeni Jenness Turevi Yontemin Pairwise Degerlendirmesi</w:t>
      </w:r>
    </w:p>
    <w:tbl>
      <w:tblPr>
        <w:tblStyle w:val="TableGrid"/>
        <w:tblW w:type="auto" w:w="0"/>
        <w:jc w:val="center"/>
        <w:tblLook w:firstColumn="1" w:firstRow="1" w:lastColumn="0" w:lastRow="0" w:noHBand="0" w:noVBand="1" w:val="04A0"/>
      </w:tblPr>
      <w:tblGrid>
        <w:gridCol w:w="1361"/>
        <w:gridCol w:w="1361"/>
        <w:gridCol w:w="1361"/>
        <w:gridCol w:w="1361"/>
        <w:gridCol w:w="1361"/>
        <w:gridCol w:w="1361"/>
        <w:gridCol w:w="1361"/>
      </w:tblGrid>
      <w:tr>
        <w:tc>
          <w:tcPr>
            <w:tcW w:type="dxa" w:w="2835"/>
            <w:shd w:fill="D9EAF7"/>
          </w:tcPr>
          <w:p>
            <w:r>
              <w:rPr>
                <w:rFonts w:ascii="Calibri" w:hAnsi="Calibri"/>
                <w:b/>
                <w:sz w:val="18"/>
              </w:rPr>
              <w:t>Karsilastirma</w:t>
            </w:r>
          </w:p>
        </w:tc>
        <w:tc>
          <w:tcPr>
            <w:tcW w:type="dxa" w:w="1020"/>
            <w:shd w:fill="D9EAF7"/>
          </w:tcPr>
          <w:p>
            <w:r>
              <w:rPr>
                <w:rFonts w:ascii="Calibri" w:hAnsi="Calibri"/>
                <w:b/>
                <w:sz w:val="18"/>
              </w:rPr>
              <w:t>Toplam</w:t>
            </w:r>
          </w:p>
        </w:tc>
        <w:tc>
          <w:tcPr>
            <w:tcW w:type="dxa" w:w="907"/>
            <w:shd w:fill="D9EAF7"/>
          </w:tcPr>
          <w:p>
            <w:r>
              <w:rPr>
                <w:rFonts w:ascii="Calibri" w:hAnsi="Calibri"/>
                <w:b/>
                <w:sz w:val="18"/>
              </w:rPr>
              <w:t>Daha iyi</w:t>
            </w:r>
          </w:p>
        </w:tc>
        <w:tc>
          <w:tcPr>
            <w:tcW w:type="dxa" w:w="1134"/>
            <w:shd w:fill="D9EAF7"/>
          </w:tcPr>
          <w:p>
            <w:r>
              <w:rPr>
                <w:rFonts w:ascii="Calibri" w:hAnsi="Calibri"/>
                <w:b/>
                <w:sz w:val="18"/>
              </w:rPr>
              <w:t>&gt;%1 daha iyi</w:t>
            </w:r>
          </w:p>
        </w:tc>
        <w:tc>
          <w:tcPr>
            <w:tcW w:type="dxa" w:w="1134"/>
            <w:shd w:fill="D9EAF7"/>
          </w:tcPr>
          <w:p>
            <w:r>
              <w:rPr>
                <w:rFonts w:ascii="Calibri" w:hAnsi="Calibri"/>
                <w:b/>
                <w:sz w:val="18"/>
              </w:rPr>
              <w:t>&gt;%5 daha iyi</w:t>
            </w:r>
          </w:p>
        </w:tc>
        <w:tc>
          <w:tcPr>
            <w:tcW w:type="dxa" w:w="1134"/>
            <w:shd w:fill="D9EAF7"/>
          </w:tcPr>
          <w:p>
            <w:r>
              <w:rPr>
                <w:rFonts w:ascii="Calibri" w:hAnsi="Calibri"/>
                <w:b/>
                <w:sz w:val="18"/>
              </w:rPr>
              <w:t>&gt;%1 daha kotu</w:t>
            </w:r>
          </w:p>
        </w:tc>
        <w:tc>
          <w:tcPr>
            <w:tcW w:type="dxa" w:w="1247"/>
            <w:shd w:fill="D9EAF7"/>
          </w:tcPr>
          <w:p>
            <w:r>
              <w:rPr>
                <w:rFonts w:ascii="Calibri" w:hAnsi="Calibri"/>
                <w:b/>
                <w:sz w:val="18"/>
              </w:rPr>
              <w:t>Medyan runtime orani</w:t>
            </w:r>
          </w:p>
        </w:tc>
      </w:tr>
      <w:tr>
        <w:tc>
          <w:tcPr>
            <w:tcW w:type="dxa" w:w="2835"/>
          </w:tcPr>
          <w:p>
            <w:r>
              <w:rPr>
                <w:rFonts w:ascii="Calibri" w:hAnsi="Calibri"/>
                <w:sz w:val="18"/>
              </w:rPr>
              <w:t>Yeni Jenness / Klasik Jenness</w:t>
            </w:r>
          </w:p>
        </w:tc>
        <w:tc>
          <w:tcPr>
            <w:tcW w:type="dxa" w:w="1020"/>
          </w:tcPr>
          <w:p>
            <w:r>
              <w:rPr>
                <w:rFonts w:ascii="Calibri" w:hAnsi="Calibri"/>
                <w:sz w:val="18"/>
              </w:rPr>
              <w:t>88</w:t>
            </w:r>
          </w:p>
        </w:tc>
        <w:tc>
          <w:tcPr>
            <w:tcW w:type="dxa" w:w="907"/>
          </w:tcPr>
          <w:p>
            <w:r>
              <w:rPr>
                <w:rFonts w:ascii="Calibri" w:hAnsi="Calibri"/>
                <w:sz w:val="18"/>
              </w:rPr>
              <w:t>6</w:t>
            </w:r>
          </w:p>
        </w:tc>
        <w:tc>
          <w:tcPr>
            <w:tcW w:type="dxa" w:w="1134"/>
          </w:tcPr>
          <w:p>
            <w:r>
              <w:rPr>
                <w:rFonts w:ascii="Calibri" w:hAnsi="Calibri"/>
                <w:sz w:val="18"/>
              </w:rPr>
              <w:t>2</w:t>
            </w:r>
          </w:p>
        </w:tc>
        <w:tc>
          <w:tcPr>
            <w:tcW w:type="dxa" w:w="1134"/>
          </w:tcPr>
          <w:p>
            <w:r>
              <w:rPr>
                <w:rFonts w:ascii="Calibri" w:hAnsi="Calibri"/>
                <w:sz w:val="18"/>
              </w:rPr>
              <w:t>2</w:t>
            </w:r>
          </w:p>
        </w:tc>
        <w:tc>
          <w:tcPr>
            <w:tcW w:type="dxa" w:w="1134"/>
          </w:tcPr>
          <w:p>
            <w:r>
              <w:rPr>
                <w:rFonts w:ascii="Calibri" w:hAnsi="Calibri"/>
                <w:sz w:val="18"/>
              </w:rPr>
              <w:t>21</w:t>
            </w:r>
          </w:p>
        </w:tc>
        <w:tc>
          <w:tcPr>
            <w:tcW w:type="dxa" w:w="1247"/>
          </w:tcPr>
          <w:p>
            <w:r>
              <w:rPr>
                <w:rFonts w:ascii="Calibri" w:hAnsi="Calibri"/>
                <w:sz w:val="18"/>
              </w:rPr>
              <w:t>27.7x</w:t>
            </w:r>
          </w:p>
        </w:tc>
      </w:tr>
      <w:tr>
        <w:tc>
          <w:tcPr>
            <w:tcW w:type="dxa" w:w="2835"/>
          </w:tcPr>
          <w:p>
            <w:r>
              <w:rPr>
                <w:rFonts w:ascii="Calibri" w:hAnsi="Calibri"/>
                <w:sz w:val="18"/>
              </w:rPr>
              <w:t>Yeni Jenness / Gradient</w:t>
            </w:r>
          </w:p>
        </w:tc>
        <w:tc>
          <w:tcPr>
            <w:tcW w:type="dxa" w:w="1020"/>
          </w:tcPr>
          <w:p>
            <w:r>
              <w:rPr>
                <w:rFonts w:ascii="Calibri" w:hAnsi="Calibri"/>
                <w:sz w:val="18"/>
              </w:rPr>
              <w:t>88</w:t>
            </w:r>
          </w:p>
        </w:tc>
        <w:tc>
          <w:tcPr>
            <w:tcW w:type="dxa" w:w="907"/>
          </w:tcPr>
          <w:p>
            <w:r>
              <w:rPr>
                <w:rFonts w:ascii="Calibri" w:hAnsi="Calibri"/>
                <w:sz w:val="18"/>
              </w:rPr>
              <w:t>73</w:t>
            </w:r>
          </w:p>
        </w:tc>
        <w:tc>
          <w:tcPr>
            <w:tcW w:type="dxa" w:w="1134"/>
          </w:tcPr>
          <w:p>
            <w:r>
              <w:rPr>
                <w:rFonts w:ascii="Calibri" w:hAnsi="Calibri"/>
                <w:sz w:val="18"/>
              </w:rPr>
              <w:t>16</w:t>
            </w:r>
          </w:p>
        </w:tc>
        <w:tc>
          <w:tcPr>
            <w:tcW w:type="dxa" w:w="1134"/>
          </w:tcPr>
          <w:p>
            <w:r>
              <w:rPr>
                <w:rFonts w:ascii="Calibri" w:hAnsi="Calibri"/>
                <w:sz w:val="18"/>
              </w:rPr>
              <w:t>15</w:t>
            </w:r>
          </w:p>
        </w:tc>
        <w:tc>
          <w:tcPr>
            <w:tcW w:type="dxa" w:w="1134"/>
          </w:tcPr>
          <w:p>
            <w:r>
              <w:rPr>
                <w:rFonts w:ascii="Calibri" w:hAnsi="Calibri"/>
                <w:sz w:val="18"/>
              </w:rPr>
              <w:t>0</w:t>
            </w:r>
          </w:p>
        </w:tc>
        <w:tc>
          <w:tcPr>
            <w:tcW w:type="dxa" w:w="1247"/>
          </w:tcPr>
          <w:p>
            <w:r>
              <w:rPr>
                <w:rFonts w:ascii="Calibri" w:hAnsi="Calibri"/>
                <w:sz w:val="18"/>
              </w:rPr>
              <w:t>160.6x</w:t>
            </w:r>
          </w:p>
        </w:tc>
      </w:tr>
      <w:tr>
        <w:tc>
          <w:tcPr>
            <w:tcW w:type="dxa" w:w="2835"/>
          </w:tcPr>
          <w:p>
            <w:r>
              <w:rPr>
                <w:rFonts w:ascii="Calibri" w:hAnsi="Calibri"/>
                <w:sz w:val="18"/>
              </w:rPr>
              <w:t>Yeni Jenness / TIN</w:t>
            </w:r>
          </w:p>
        </w:tc>
        <w:tc>
          <w:tcPr>
            <w:tcW w:type="dxa" w:w="1020"/>
          </w:tcPr>
          <w:p>
            <w:r>
              <w:rPr>
                <w:rFonts w:ascii="Calibri" w:hAnsi="Calibri"/>
                <w:sz w:val="18"/>
              </w:rPr>
              <w:t>88</w:t>
            </w:r>
          </w:p>
        </w:tc>
        <w:tc>
          <w:tcPr>
            <w:tcW w:type="dxa" w:w="907"/>
          </w:tcPr>
          <w:p>
            <w:r>
              <w:rPr>
                <w:rFonts w:ascii="Calibri" w:hAnsi="Calibri"/>
                <w:sz w:val="18"/>
              </w:rPr>
              <w:t>32</w:t>
            </w:r>
          </w:p>
        </w:tc>
        <w:tc>
          <w:tcPr>
            <w:tcW w:type="dxa" w:w="1134"/>
          </w:tcPr>
          <w:p>
            <w:r>
              <w:rPr>
                <w:rFonts w:ascii="Calibri" w:hAnsi="Calibri"/>
                <w:sz w:val="18"/>
              </w:rPr>
              <w:t>4</w:t>
            </w:r>
          </w:p>
        </w:tc>
        <w:tc>
          <w:tcPr>
            <w:tcW w:type="dxa" w:w="1134"/>
          </w:tcPr>
          <w:p>
            <w:r>
              <w:rPr>
                <w:rFonts w:ascii="Calibri" w:hAnsi="Calibri"/>
                <w:sz w:val="18"/>
              </w:rPr>
              <w:t>3</w:t>
            </w:r>
          </w:p>
        </w:tc>
        <w:tc>
          <w:tcPr>
            <w:tcW w:type="dxa" w:w="1134"/>
          </w:tcPr>
          <w:p>
            <w:r>
              <w:rPr>
                <w:rFonts w:ascii="Calibri" w:hAnsi="Calibri"/>
                <w:sz w:val="18"/>
              </w:rPr>
              <w:t>11</w:t>
            </w:r>
          </w:p>
        </w:tc>
        <w:tc>
          <w:tcPr>
            <w:tcW w:type="dxa" w:w="1247"/>
          </w:tcPr>
          <w:p>
            <w:r>
              <w:rPr>
                <w:rFonts w:ascii="Calibri" w:hAnsi="Calibri"/>
                <w:sz w:val="18"/>
              </w:rPr>
              <w:t>74.8x</w:t>
            </w:r>
          </w:p>
        </w:tc>
      </w:tr>
      <w:tr>
        <w:tc>
          <w:tcPr>
            <w:tcW w:type="dxa" w:w="2835"/>
          </w:tcPr>
          <w:p>
            <w:r>
              <w:rPr>
                <w:rFonts w:ascii="Calibri" w:hAnsi="Calibri"/>
                <w:sz w:val="18"/>
              </w:rPr>
              <w:t>Klasik Jenness / Gradient</w:t>
            </w:r>
          </w:p>
        </w:tc>
        <w:tc>
          <w:tcPr>
            <w:tcW w:type="dxa" w:w="1020"/>
          </w:tcPr>
          <w:p>
            <w:r>
              <w:rPr>
                <w:rFonts w:ascii="Calibri" w:hAnsi="Calibri"/>
                <w:sz w:val="18"/>
              </w:rPr>
              <w:t>88</w:t>
            </w:r>
          </w:p>
        </w:tc>
        <w:tc>
          <w:tcPr>
            <w:tcW w:type="dxa" w:w="907"/>
          </w:tcPr>
          <w:p>
            <w:r>
              <w:rPr>
                <w:rFonts w:ascii="Calibri" w:hAnsi="Calibri"/>
                <w:sz w:val="18"/>
              </w:rPr>
              <w:t>77</w:t>
            </w:r>
          </w:p>
        </w:tc>
        <w:tc>
          <w:tcPr>
            <w:tcW w:type="dxa" w:w="1134"/>
          </w:tcPr>
          <w:p>
            <w:r>
              <w:rPr>
                <w:rFonts w:ascii="Calibri" w:hAnsi="Calibri"/>
                <w:sz w:val="18"/>
              </w:rPr>
              <w:t>21</w:t>
            </w:r>
          </w:p>
        </w:tc>
        <w:tc>
          <w:tcPr>
            <w:tcW w:type="dxa" w:w="1134"/>
          </w:tcPr>
          <w:p>
            <w:r>
              <w:rPr>
                <w:rFonts w:ascii="Calibri" w:hAnsi="Calibri"/>
                <w:sz w:val="18"/>
              </w:rPr>
              <w:t>15</w:t>
            </w:r>
          </w:p>
        </w:tc>
        <w:tc>
          <w:tcPr>
            <w:tcW w:type="dxa" w:w="1134"/>
          </w:tcPr>
          <w:p>
            <w:r>
              <w:rPr>
                <w:rFonts w:ascii="Calibri" w:hAnsi="Calibri"/>
                <w:sz w:val="18"/>
              </w:rPr>
              <w:t>1</w:t>
            </w:r>
          </w:p>
        </w:tc>
        <w:tc>
          <w:tcPr>
            <w:tcW w:type="dxa" w:w="1247"/>
          </w:tcPr>
          <w:p>
            <w:r>
              <w:rPr>
                <w:rFonts w:ascii="Calibri" w:hAnsi="Calibri"/>
                <w:sz w:val="18"/>
              </w:rPr>
              <w:t>7.4x</w:t>
            </w:r>
          </w:p>
        </w:tc>
      </w:tr>
    </w:tbl>
    <w:p/>
    <w:p>
      <w:pPr>
        <w:pStyle w:val="ListBullet"/>
      </w:pPr>
      <w:r>
        <w:t>Yeni Jenness turevi, Gradient Multiplier'a karsi beklenen sekilde daha dogru; ancak ayni dogruluk kazanci klasik Jenness ile de zaten elde ediliyor.</w:t>
      </w:r>
    </w:p>
    <w:p>
      <w:pPr>
        <w:pStyle w:val="ListBullet"/>
      </w:pPr>
      <w:r>
        <w:t>Kritik soru yeni yontemin klasik Jenness'e karsi ne kattigi. Mevcut batch bu soruya zayif bir cevap veriyor: yalnizca 6/88 strict win ve bunlarin yalniz 2'si %5'in ustunde anlamli iyilesme.</w:t>
      </w:r>
    </w:p>
    <w:p>
      <w:pPr>
        <w:pStyle w:val="ListBullet"/>
      </w:pPr>
      <w:r>
        <w:t>Buna karsin yeni yontem klasik Jenness'ten 21 durumda %1'den fazla daha kotu ve 14 durumda %5'ten fazla daha kotu.</w:t>
      </w:r>
    </w:p>
    <w:p>
      <w:pPr>
        <w:pStyle w:val="Heading1"/>
      </w:pPr>
      <w:r>
        <w:t>5. Yeni Jenness Turevi ve Klasik Jenness: Native Seviyede Dogrudan Fark</w:t>
      </w:r>
    </w:p>
    <w:p>
      <w:r>
        <w:drawing>
          <wp:inline xmlns:a="http://schemas.openxmlformats.org/drawingml/2006/main" xmlns:pic="http://schemas.openxmlformats.org/drawingml/2006/picture">
            <wp:extent cx="5760000" cy="3160937"/>
            <wp:docPr id="2" name="Picture 2"/>
            <wp:cNvGraphicFramePr>
              <a:graphicFrameLocks noChangeAspect="1"/>
            </wp:cNvGraphicFramePr>
            <a:graphic>
              <a:graphicData uri="http://schemas.openxmlformats.org/drawingml/2006/picture">
                <pic:pic>
                  <pic:nvPicPr>
                    <pic:cNvPr id="0" name="sector_vs_classic_jenness_native_error_diff.png"/>
                    <pic:cNvPicPr/>
                  </pic:nvPicPr>
                  <pic:blipFill>
                    <a:blip r:embed="rId10"/>
                    <a:stretch>
                      <a:fillRect/>
                    </a:stretch>
                  </pic:blipFill>
                  <pic:spPr>
                    <a:xfrm>
                      <a:off x="0" y="0"/>
                      <a:ext cx="5760000" cy="3160937"/>
                    </a:xfrm>
                    <a:prstGeom prst="rect"/>
                  </pic:spPr>
                </pic:pic>
              </a:graphicData>
            </a:graphic>
          </wp:inline>
        </w:drawing>
      </w:r>
    </w:p>
    <w:p>
      <w:pPr>
        <w:jc w:val="center"/>
      </w:pPr>
      <w:r>
        <w:rPr>
          <w:i/>
          <w:sz w:val="18"/>
        </w:rPr>
        <w:t>Sekil 2. Native seviyede sector-adaptive Jenness ile klasik Jenness arasindaki hata farki. Negatif deger yeni yontemin daha iyi oldugunu gosterir.</w:t>
      </w:r>
    </w:p>
    <w:p>
      <w:r>
        <w:drawing>
          <wp:inline xmlns:a="http://schemas.openxmlformats.org/drawingml/2006/main" xmlns:pic="http://schemas.openxmlformats.org/drawingml/2006/picture">
            <wp:extent cx="5760000" cy="3160937"/>
            <wp:docPr id="3" name="Picture 3"/>
            <wp:cNvGraphicFramePr>
              <a:graphicFrameLocks noChangeAspect="1"/>
            </wp:cNvGraphicFramePr>
            <a:graphic>
              <a:graphicData uri="http://schemas.openxmlformats.org/drawingml/2006/picture">
                <pic:pic>
                  <pic:nvPicPr>
                    <pic:cNvPr id="0" name="sector_vs_classic_jenness_native_runtime_ratio.png"/>
                    <pic:cNvPicPr/>
                  </pic:nvPicPr>
                  <pic:blipFill>
                    <a:blip r:embed="rId11"/>
                    <a:stretch>
                      <a:fillRect/>
                    </a:stretch>
                  </pic:blipFill>
                  <pic:spPr>
                    <a:xfrm>
                      <a:off x="0" y="0"/>
                      <a:ext cx="5760000" cy="3160937"/>
                    </a:xfrm>
                    <a:prstGeom prst="rect"/>
                  </pic:spPr>
                </pic:pic>
              </a:graphicData>
            </a:graphic>
          </wp:inline>
        </w:drawing>
      </w:r>
    </w:p>
    <w:p>
      <w:pPr>
        <w:jc w:val="center"/>
      </w:pPr>
      <w:r>
        <w:rPr>
          <w:i/>
          <w:sz w:val="18"/>
        </w:rPr>
        <w:t>Sekil 3. Native seviyede yeni Jenness turevinin klasik Jenness'e gore runtime maliyeti.</w:t>
      </w:r>
    </w:p>
    <w:p>
      <w:r>
        <w:t>Native seviyedeki resim daha da belirgin. Yeni yontem anlamli kazanci sadece Patchwork ve Mixed yuzeylerinde veriyor. Buna karsin Canyon ve Terraced gibi iki kritik zor yuzeyde klasik Jenness'in belirgin sekilde gerisine dusuyor. Bu, yeni yontemin genel 'zor yuzey cozucusu' olmadigini; belirli karisik ama yumusak gecisli kompozit yuzeylerde avantaj saglayip, keskin kirik geometri iceren yuzeylerde ise ters tepebildigini gosteriyor.</w:t>
      </w:r>
    </w:p>
    <w:tbl>
      <w:tblPr>
        <w:tblStyle w:val="TableGrid"/>
        <w:tblW w:type="auto" w:w="0"/>
        <w:jc w:val="center"/>
        <w:tblLook w:firstColumn="1" w:firstRow="1" w:lastColumn="0" w:lastRow="0" w:noHBand="0" w:noVBand="1" w:val="04A0"/>
      </w:tblPr>
      <w:tblGrid>
        <w:gridCol w:w="3175"/>
        <w:gridCol w:w="3175"/>
        <w:gridCol w:w="3175"/>
      </w:tblGrid>
      <w:tr>
        <w:tc>
          <w:tcPr>
            <w:tcW w:type="dxa" w:w="4195"/>
            <w:shd w:fill="D9EAF7"/>
          </w:tcPr>
          <w:p>
            <w:r>
              <w:rPr>
                <w:rFonts w:ascii="Calibri" w:hAnsi="Calibri"/>
                <w:b/>
                <w:sz w:val="18"/>
              </w:rPr>
              <w:t>Yeni yontemin en iyi oldugu ornekler</w:t>
            </w:r>
          </w:p>
        </w:tc>
        <w:tc>
          <w:tcPr>
            <w:tcW w:type="dxa" w:w="1928"/>
            <w:shd w:fill="D9EAF7"/>
          </w:tcPr>
          <w:p>
            <w:r>
              <w:rPr>
                <w:rFonts w:ascii="Calibri" w:hAnsi="Calibri"/>
                <w:b/>
                <w:sz w:val="18"/>
              </w:rPr>
              <w:t>Hata farki</w:t>
            </w:r>
          </w:p>
        </w:tc>
        <w:tc>
          <w:tcPr>
            <w:tcW w:type="dxa" w:w="1928"/>
            <w:shd w:fill="D9EAF7"/>
          </w:tcPr>
          <w:p>
            <w:r>
              <w:rPr>
                <w:rFonts w:ascii="Calibri" w:hAnsi="Calibri"/>
                <w:b/>
                <w:sz w:val="18"/>
              </w:rPr>
              <w:t>Runtime orani</w:t>
            </w:r>
          </w:p>
        </w:tc>
      </w:tr>
      <w:tr>
        <w:tc>
          <w:tcPr>
            <w:tcW w:type="dxa" w:w="4195"/>
          </w:tcPr>
          <w:p>
            <w:r>
              <w:rPr>
                <w:rFonts w:ascii="Calibri" w:hAnsi="Calibri"/>
                <w:sz w:val="18"/>
              </w:rPr>
              <w:t>Patchwork</w:t>
            </w:r>
          </w:p>
        </w:tc>
        <w:tc>
          <w:tcPr>
            <w:tcW w:type="dxa" w:w="1928"/>
          </w:tcPr>
          <w:p>
            <w:r>
              <w:rPr>
                <w:rFonts w:ascii="Calibri" w:hAnsi="Calibri"/>
                <w:sz w:val="18"/>
              </w:rPr>
              <w:t>-0.7167%</w:t>
            </w:r>
          </w:p>
        </w:tc>
        <w:tc>
          <w:tcPr>
            <w:tcW w:type="dxa" w:w="1928"/>
          </w:tcPr>
          <w:p>
            <w:r>
              <w:rPr>
                <w:rFonts w:ascii="Calibri" w:hAnsi="Calibri"/>
                <w:sz w:val="18"/>
              </w:rPr>
              <w:t>43.6x</w:t>
            </w:r>
          </w:p>
        </w:tc>
      </w:tr>
      <w:tr>
        <w:tc>
          <w:tcPr>
            <w:tcW w:type="dxa" w:w="4195"/>
          </w:tcPr>
          <w:p>
            <w:r>
              <w:rPr>
                <w:rFonts w:ascii="Calibri" w:hAnsi="Calibri"/>
                <w:sz w:val="18"/>
              </w:rPr>
              <w:t>Mixed</w:t>
            </w:r>
          </w:p>
        </w:tc>
        <w:tc>
          <w:tcPr>
            <w:tcW w:type="dxa" w:w="1928"/>
          </w:tcPr>
          <w:p>
            <w:r>
              <w:rPr>
                <w:rFonts w:ascii="Calibri" w:hAnsi="Calibri"/>
                <w:sz w:val="18"/>
              </w:rPr>
              <w:t>-0.4778%</w:t>
            </w:r>
          </w:p>
        </w:tc>
        <w:tc>
          <w:tcPr>
            <w:tcW w:type="dxa" w:w="1928"/>
          </w:tcPr>
          <w:p>
            <w:r>
              <w:rPr>
                <w:rFonts w:ascii="Calibri" w:hAnsi="Calibri"/>
                <w:sz w:val="18"/>
              </w:rPr>
              <w:t>41.8x</w:t>
            </w:r>
          </w:p>
        </w:tc>
      </w:tr>
      <w:tr>
        <w:tc>
          <w:tcPr>
            <w:tcW w:type="dxa" w:w="4195"/>
          </w:tcPr>
          <w:p>
            <w:r>
              <w:rPr>
                <w:rFonts w:ascii="Calibri" w:hAnsi="Calibri"/>
                <w:sz w:val="18"/>
              </w:rPr>
              <w:t>Analytic Plane</w:t>
            </w:r>
          </w:p>
        </w:tc>
        <w:tc>
          <w:tcPr>
            <w:tcW w:type="dxa" w:w="1928"/>
          </w:tcPr>
          <w:p>
            <w:r>
              <w:rPr>
                <w:rFonts w:ascii="Calibri" w:hAnsi="Calibri"/>
                <w:sz w:val="18"/>
              </w:rPr>
              <w:t>0.0000%</w:t>
            </w:r>
          </w:p>
        </w:tc>
        <w:tc>
          <w:tcPr>
            <w:tcW w:type="dxa" w:w="1928"/>
          </w:tcPr>
          <w:p>
            <w:r>
              <w:rPr>
                <w:rFonts w:ascii="Calibri" w:hAnsi="Calibri"/>
                <w:sz w:val="18"/>
              </w:rPr>
              <w:t>2.5x</w:t>
            </w:r>
          </w:p>
        </w:tc>
      </w:tr>
      <w:tr>
        <w:tc>
          <w:tcPr>
            <w:tcW w:type="dxa" w:w="4195"/>
          </w:tcPr>
          <w:p>
            <w:r>
              <w:rPr>
                <w:rFonts w:ascii="Calibri" w:hAnsi="Calibri"/>
                <w:sz w:val="18"/>
              </w:rPr>
              <w:t>Analytic Dome</w:t>
            </w:r>
          </w:p>
        </w:tc>
        <w:tc>
          <w:tcPr>
            <w:tcW w:type="dxa" w:w="1928"/>
          </w:tcPr>
          <w:p>
            <w:r>
              <w:rPr>
                <w:rFonts w:ascii="Calibri" w:hAnsi="Calibri"/>
                <w:sz w:val="18"/>
              </w:rPr>
              <w:t>0.0000%</w:t>
            </w:r>
          </w:p>
        </w:tc>
        <w:tc>
          <w:tcPr>
            <w:tcW w:type="dxa" w:w="1928"/>
          </w:tcPr>
          <w:p>
            <w:r>
              <w:rPr>
                <w:rFonts w:ascii="Calibri" w:hAnsi="Calibri"/>
                <w:sz w:val="18"/>
              </w:rPr>
              <w:t>2.9x</w:t>
            </w:r>
          </w:p>
        </w:tc>
      </w:tr>
      <w:tr>
        <w:tc>
          <w:tcPr>
            <w:tcW w:type="dxa" w:w="4195"/>
          </w:tcPr>
          <w:p>
            <w:r>
              <w:rPr>
                <w:rFonts w:ascii="Calibri" w:hAnsi="Calibri"/>
                <w:sz w:val="18"/>
              </w:rPr>
              <w:t>Analytic Gaussian Hill</w:t>
            </w:r>
          </w:p>
        </w:tc>
        <w:tc>
          <w:tcPr>
            <w:tcW w:type="dxa" w:w="1928"/>
          </w:tcPr>
          <w:p>
            <w:r>
              <w:rPr>
                <w:rFonts w:ascii="Calibri" w:hAnsi="Calibri"/>
                <w:sz w:val="18"/>
              </w:rPr>
              <w:t>0.0000%</w:t>
            </w:r>
          </w:p>
        </w:tc>
        <w:tc>
          <w:tcPr>
            <w:tcW w:type="dxa" w:w="1928"/>
          </w:tcPr>
          <w:p>
            <w:r>
              <w:rPr>
                <w:rFonts w:ascii="Calibri" w:hAnsi="Calibri"/>
                <w:sz w:val="18"/>
              </w:rPr>
              <w:t>2.9x</w:t>
            </w:r>
          </w:p>
        </w:tc>
      </w:tr>
      <w:tr>
        <w:tc>
          <w:tcPr>
            <w:tcW w:type="dxa" w:w="4195"/>
          </w:tcPr>
          <w:p>
            <w:r>
              <w:rPr>
                <w:rFonts w:ascii="Calibri" w:hAnsi="Calibri"/>
                <w:sz w:val="18"/>
              </w:rPr>
              <w:t>Analytic Multi Gaussian</w:t>
            </w:r>
          </w:p>
        </w:tc>
        <w:tc>
          <w:tcPr>
            <w:tcW w:type="dxa" w:w="1928"/>
          </w:tcPr>
          <w:p>
            <w:r>
              <w:rPr>
                <w:rFonts w:ascii="Calibri" w:hAnsi="Calibri"/>
                <w:sz w:val="18"/>
              </w:rPr>
              <w:t>0.0000%</w:t>
            </w:r>
          </w:p>
        </w:tc>
        <w:tc>
          <w:tcPr>
            <w:tcW w:type="dxa" w:w="1928"/>
          </w:tcPr>
          <w:p>
            <w:r>
              <w:rPr>
                <w:rFonts w:ascii="Calibri" w:hAnsi="Calibri"/>
                <w:sz w:val="18"/>
              </w:rPr>
              <w:t>4.1x</w:t>
            </w:r>
          </w:p>
        </w:tc>
      </w:tr>
    </w:tbl>
    <w:p/>
    <w:tbl>
      <w:tblPr>
        <w:tblStyle w:val="TableGrid"/>
        <w:tblW w:type="auto" w:w="0"/>
        <w:jc w:val="center"/>
        <w:tblLook w:firstColumn="1" w:firstRow="1" w:lastColumn="0" w:lastRow="0" w:noHBand="0" w:noVBand="1" w:val="04A0"/>
      </w:tblPr>
      <w:tblGrid>
        <w:gridCol w:w="3175"/>
        <w:gridCol w:w="3175"/>
        <w:gridCol w:w="3175"/>
      </w:tblGrid>
      <w:tr>
        <w:tc>
          <w:tcPr>
            <w:tcW w:type="dxa" w:w="4195"/>
            <w:shd w:fill="D9EAF7"/>
          </w:tcPr>
          <w:p>
            <w:r>
              <w:rPr>
                <w:rFonts w:ascii="Calibri" w:hAnsi="Calibri"/>
                <w:b/>
                <w:sz w:val="18"/>
              </w:rPr>
              <w:t>Yeni yontemin en zayif kaldigi ornekler</w:t>
            </w:r>
          </w:p>
        </w:tc>
        <w:tc>
          <w:tcPr>
            <w:tcW w:type="dxa" w:w="1928"/>
            <w:shd w:fill="D9EAF7"/>
          </w:tcPr>
          <w:p>
            <w:r>
              <w:rPr>
                <w:rFonts w:ascii="Calibri" w:hAnsi="Calibri"/>
                <w:b/>
                <w:sz w:val="18"/>
              </w:rPr>
              <w:t>Hata farki</w:t>
            </w:r>
          </w:p>
        </w:tc>
        <w:tc>
          <w:tcPr>
            <w:tcW w:type="dxa" w:w="1928"/>
            <w:shd w:fill="D9EAF7"/>
          </w:tcPr>
          <w:p>
            <w:r>
              <w:rPr>
                <w:rFonts w:ascii="Calibri" w:hAnsi="Calibri"/>
                <w:b/>
                <w:sz w:val="18"/>
              </w:rPr>
              <w:t>Runtime orani</w:t>
            </w:r>
          </w:p>
        </w:tc>
      </w:tr>
      <w:tr>
        <w:tc>
          <w:tcPr>
            <w:tcW w:type="dxa" w:w="4195"/>
          </w:tcPr>
          <w:p>
            <w:r>
              <w:rPr>
                <w:rFonts w:ascii="Calibri" w:hAnsi="Calibri"/>
                <w:sz w:val="18"/>
              </w:rPr>
              <w:t>Canyon</w:t>
            </w:r>
          </w:p>
        </w:tc>
        <w:tc>
          <w:tcPr>
            <w:tcW w:type="dxa" w:w="1928"/>
          </w:tcPr>
          <w:p>
            <w:r>
              <w:rPr>
                <w:rFonts w:ascii="Calibri" w:hAnsi="Calibri"/>
                <w:sz w:val="18"/>
              </w:rPr>
              <w:t>4.5411%</w:t>
            </w:r>
          </w:p>
        </w:tc>
        <w:tc>
          <w:tcPr>
            <w:tcW w:type="dxa" w:w="1928"/>
          </w:tcPr>
          <w:p>
            <w:r>
              <w:rPr>
                <w:rFonts w:ascii="Calibri" w:hAnsi="Calibri"/>
                <w:sz w:val="18"/>
              </w:rPr>
              <w:t>40.1x</w:t>
            </w:r>
          </w:p>
        </w:tc>
      </w:tr>
      <w:tr>
        <w:tc>
          <w:tcPr>
            <w:tcW w:type="dxa" w:w="4195"/>
          </w:tcPr>
          <w:p>
            <w:r>
              <w:rPr>
                <w:rFonts w:ascii="Calibri" w:hAnsi="Calibri"/>
                <w:sz w:val="18"/>
              </w:rPr>
              <w:t>Terraced</w:t>
            </w:r>
          </w:p>
        </w:tc>
        <w:tc>
          <w:tcPr>
            <w:tcW w:type="dxa" w:w="1928"/>
          </w:tcPr>
          <w:p>
            <w:r>
              <w:rPr>
                <w:rFonts w:ascii="Calibri" w:hAnsi="Calibri"/>
                <w:sz w:val="18"/>
              </w:rPr>
              <w:t>4.4205%</w:t>
            </w:r>
          </w:p>
        </w:tc>
        <w:tc>
          <w:tcPr>
            <w:tcW w:type="dxa" w:w="1928"/>
          </w:tcPr>
          <w:p>
            <w:r>
              <w:rPr>
                <w:rFonts w:ascii="Calibri" w:hAnsi="Calibri"/>
                <w:sz w:val="18"/>
              </w:rPr>
              <w:t>46.8x</w:t>
            </w:r>
          </w:p>
        </w:tc>
      </w:tr>
      <w:tr>
        <w:tc>
          <w:tcPr>
            <w:tcW w:type="dxa" w:w="4195"/>
          </w:tcPr>
          <w:p>
            <w:r>
              <w:rPr>
                <w:rFonts w:ascii="Calibri" w:hAnsi="Calibri"/>
                <w:sz w:val="18"/>
              </w:rPr>
              <w:t>Hills</w:t>
            </w:r>
          </w:p>
        </w:tc>
        <w:tc>
          <w:tcPr>
            <w:tcW w:type="dxa" w:w="1928"/>
          </w:tcPr>
          <w:p>
            <w:r>
              <w:rPr>
                <w:rFonts w:ascii="Calibri" w:hAnsi="Calibri"/>
                <w:sz w:val="18"/>
              </w:rPr>
              <w:t>0.4744%</w:t>
            </w:r>
          </w:p>
        </w:tc>
        <w:tc>
          <w:tcPr>
            <w:tcW w:type="dxa" w:w="1928"/>
          </w:tcPr>
          <w:p>
            <w:r>
              <w:rPr>
                <w:rFonts w:ascii="Calibri" w:hAnsi="Calibri"/>
                <w:sz w:val="18"/>
              </w:rPr>
              <w:t>37.6x</w:t>
            </w:r>
          </w:p>
        </w:tc>
      </w:tr>
      <w:tr>
        <w:tc>
          <w:tcPr>
            <w:tcW w:type="dxa" w:w="4195"/>
          </w:tcPr>
          <w:p>
            <w:r>
              <w:rPr>
                <w:rFonts w:ascii="Calibri" w:hAnsi="Calibri"/>
                <w:sz w:val="18"/>
              </w:rPr>
              <w:t>Volcanic</w:t>
            </w:r>
          </w:p>
        </w:tc>
        <w:tc>
          <w:tcPr>
            <w:tcW w:type="dxa" w:w="1928"/>
          </w:tcPr>
          <w:p>
            <w:r>
              <w:rPr>
                <w:rFonts w:ascii="Calibri" w:hAnsi="Calibri"/>
                <w:sz w:val="18"/>
              </w:rPr>
              <w:t>0.3170%</w:t>
            </w:r>
          </w:p>
        </w:tc>
        <w:tc>
          <w:tcPr>
            <w:tcW w:type="dxa" w:w="1928"/>
          </w:tcPr>
          <w:p>
            <w:r>
              <w:rPr>
                <w:rFonts w:ascii="Calibri" w:hAnsi="Calibri"/>
                <w:sz w:val="18"/>
              </w:rPr>
              <w:t>36.5x</w:t>
            </w:r>
          </w:p>
        </w:tc>
      </w:tr>
      <w:tr>
        <w:tc>
          <w:tcPr>
            <w:tcW w:type="dxa" w:w="4195"/>
          </w:tcPr>
          <w:p>
            <w:r>
              <w:rPr>
                <w:rFonts w:ascii="Calibri" w:hAnsi="Calibri"/>
                <w:sz w:val="18"/>
              </w:rPr>
              <w:t>Alluvial</w:t>
            </w:r>
          </w:p>
        </w:tc>
        <w:tc>
          <w:tcPr>
            <w:tcW w:type="dxa" w:w="1928"/>
          </w:tcPr>
          <w:p>
            <w:r>
              <w:rPr>
                <w:rFonts w:ascii="Calibri" w:hAnsi="Calibri"/>
                <w:sz w:val="18"/>
              </w:rPr>
              <w:t>0.2756%</w:t>
            </w:r>
          </w:p>
        </w:tc>
        <w:tc>
          <w:tcPr>
            <w:tcW w:type="dxa" w:w="1928"/>
          </w:tcPr>
          <w:p>
            <w:r>
              <w:rPr>
                <w:rFonts w:ascii="Calibri" w:hAnsi="Calibri"/>
                <w:sz w:val="18"/>
              </w:rPr>
              <w:t>34.0x</w:t>
            </w:r>
          </w:p>
        </w:tc>
      </w:tr>
      <w:tr>
        <w:tc>
          <w:tcPr>
            <w:tcW w:type="dxa" w:w="4195"/>
          </w:tcPr>
          <w:p>
            <w:r>
              <w:rPr>
                <w:rFonts w:ascii="Calibri" w:hAnsi="Calibri"/>
                <w:sz w:val="18"/>
              </w:rPr>
              <w:t>Coastal</w:t>
            </w:r>
          </w:p>
        </w:tc>
        <w:tc>
          <w:tcPr>
            <w:tcW w:type="dxa" w:w="1928"/>
          </w:tcPr>
          <w:p>
            <w:r>
              <w:rPr>
                <w:rFonts w:ascii="Calibri" w:hAnsi="Calibri"/>
                <w:sz w:val="18"/>
              </w:rPr>
              <w:t>0.1027%</w:t>
            </w:r>
          </w:p>
        </w:tc>
        <w:tc>
          <w:tcPr>
            <w:tcW w:type="dxa" w:w="1928"/>
          </w:tcPr>
          <w:p>
            <w:r>
              <w:rPr>
                <w:rFonts w:ascii="Calibri" w:hAnsi="Calibri"/>
                <w:sz w:val="18"/>
              </w:rPr>
              <w:t>41.2x</w:t>
            </w:r>
          </w:p>
        </w:tc>
      </w:tr>
    </w:tbl>
    <w:p>
      <w:pPr>
        <w:pStyle w:val="Heading1"/>
      </w:pPr>
      <w:r>
        <w:t>6. GSD Bazinda Yeni Jenness Turevi</w:t>
      </w:r>
    </w:p>
    <w:p>
      <w:r>
        <w:drawing>
          <wp:inline xmlns:a="http://schemas.openxmlformats.org/drawingml/2006/main" xmlns:pic="http://schemas.openxmlformats.org/drawingml/2006/picture">
            <wp:extent cx="5760000" cy="2405818"/>
            <wp:docPr id="4" name="Picture 4"/>
            <wp:cNvGraphicFramePr>
              <a:graphicFrameLocks noChangeAspect="1"/>
            </wp:cNvGraphicFramePr>
            <a:graphic>
              <a:graphicData uri="http://schemas.openxmlformats.org/drawingml/2006/picture">
                <pic:pic>
                  <pic:nvPicPr>
                    <pic:cNvPr id="0" name="sector_vs_classic_jenness_gsd.png"/>
                    <pic:cNvPicPr/>
                  </pic:nvPicPr>
                  <pic:blipFill>
                    <a:blip r:embed="rId12"/>
                    <a:stretch>
                      <a:fillRect/>
                    </a:stretch>
                  </pic:blipFill>
                  <pic:spPr>
                    <a:xfrm>
                      <a:off x="0" y="0"/>
                      <a:ext cx="5760000" cy="2405818"/>
                    </a:xfrm>
                    <a:prstGeom prst="rect"/>
                  </pic:spPr>
                </pic:pic>
              </a:graphicData>
            </a:graphic>
          </wp:inline>
        </w:drawing>
      </w:r>
    </w:p>
    <w:p>
      <w:pPr>
        <w:jc w:val="center"/>
      </w:pPr>
      <w:r>
        <w:rPr>
          <w:i/>
          <w:sz w:val="18"/>
        </w:rPr>
        <w:t>Sekil 4. GSD bazinda yeni Jenness turevinin klasik Jenness'e karsi kazanim sayisi ve oranlari.</w:t>
      </w:r>
    </w:p>
    <w:p>
      <w:r>
        <w:t>GSD buyudukce yeni yontemin klasik Jenness'e karsi pratik avantaji kayboluyor. 0.1-2 m araliginda gorulen az sayidaki ustunlukler esas olarak analitik ve neredeyse esit durumlar; farklar sayisal olarak yok denecek kadar kucuk. 5 m ve sonrasinda ise yeni yontem hicbir GSD seviyesinde klasik Jenness'i gecemiyor. Bu da yeni yaklasimin coarser-resolution rejiminde ek deger uretmedigini gosteriyor.</w:t>
      </w:r>
    </w:p>
    <w:p>
      <w:pPr>
        <w:pStyle w:val="Heading1"/>
      </w:pPr>
      <w:r>
        <w:t>7. Secili Zor Ornekler</w:t>
      </w:r>
    </w:p>
    <w:p>
      <w:r>
        <w:drawing>
          <wp:inline xmlns:a="http://schemas.openxmlformats.org/drawingml/2006/main" xmlns:pic="http://schemas.openxmlformats.org/drawingml/2006/picture">
            <wp:extent cx="5760000" cy="3912453"/>
            <wp:docPr id="5" name="Picture 5"/>
            <wp:cNvGraphicFramePr>
              <a:graphicFrameLocks noChangeAspect="1"/>
            </wp:cNvGraphicFramePr>
            <a:graphic>
              <a:graphicData uri="http://schemas.openxmlformats.org/drawingml/2006/picture">
                <pic:pic>
                  <pic:nvPicPr>
                    <pic:cNvPr id="0" name="selected_cases_sector_vs_classic_jenness.png"/>
                    <pic:cNvPicPr/>
                  </pic:nvPicPr>
                  <pic:blipFill>
                    <a:blip r:embed="rId13"/>
                    <a:stretch>
                      <a:fillRect/>
                    </a:stretch>
                  </pic:blipFill>
                  <pic:spPr>
                    <a:xfrm>
                      <a:off x="0" y="0"/>
                      <a:ext cx="5760000" cy="3912453"/>
                    </a:xfrm>
                    <a:prstGeom prst="rect"/>
                  </pic:spPr>
                </pic:pic>
              </a:graphicData>
            </a:graphic>
          </wp:inline>
        </w:drawing>
      </w:r>
    </w:p>
    <w:p>
      <w:pPr>
        <w:jc w:val="center"/>
      </w:pPr>
      <w:r>
        <w:rPr>
          <w:i/>
          <w:sz w:val="18"/>
        </w:rPr>
        <w:t>Sekil 5. Dort kritik senaryoda yeni Jenness turevi ve klasik Jenness hata egirileri.</w:t>
      </w:r>
    </w:p>
    <w:p>
      <w:pPr>
        <w:pStyle w:val="ListBullet"/>
      </w:pPr>
      <w:r>
        <w:t>Patchwork: yeni yontemin en anlamli kazanc sagladigi alan; klasik Jenness'e gore belirgin hata azalimi var.</w:t>
      </w:r>
    </w:p>
    <w:p>
      <w:pPr>
        <w:pStyle w:val="ListBullet"/>
      </w:pPr>
      <w:r>
        <w:t>Mixed: patchwork benzeri sekilde yeni yontem burada da olumlu ayrisiyor.</w:t>
      </w:r>
    </w:p>
    <w:p>
      <w:pPr>
        <w:pStyle w:val="ListBullet"/>
      </w:pPr>
      <w:r>
        <w:t>Canyon: yeni yontemin en sert basarisizliklarindan biri; klasik Jenness belirgin bicimde daha dogru.</w:t>
      </w:r>
    </w:p>
    <w:p>
      <w:pPr>
        <w:pStyle w:val="ListBullet"/>
      </w:pPr>
      <w:r>
        <w:t>Terraced: keskin basamakli geometri yeni yontem icin problemli; hata klasik Jenness'in cok ustune cikiyor.</w:t>
      </w:r>
    </w:p>
    <w:p>
      <w:pPr>
        <w:pStyle w:val="Heading1"/>
      </w:pPr>
      <w:r>
        <w:t>8. Yuzey Ailesi Bazinda Yorum</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928"/>
            <w:shd w:fill="D9EAF7"/>
          </w:tcPr>
          <w:p>
            <w:r>
              <w:rPr>
                <w:rFonts w:ascii="Calibri" w:hAnsi="Calibri"/>
                <w:b/>
                <w:sz w:val="18"/>
              </w:rPr>
              <w:t>Aile</w:t>
            </w:r>
          </w:p>
        </w:tc>
        <w:tc>
          <w:tcPr>
            <w:tcW w:type="dxa" w:w="1757"/>
            <w:shd w:fill="D9EAF7"/>
          </w:tcPr>
          <w:p>
            <w:r>
              <w:rPr>
                <w:rFonts w:ascii="Calibri" w:hAnsi="Calibri"/>
                <w:b/>
                <w:sz w:val="18"/>
              </w:rPr>
              <w:t>Yeni yontem daha iyi</w:t>
            </w:r>
          </w:p>
        </w:tc>
        <w:tc>
          <w:tcPr>
            <w:tcW w:type="dxa" w:w="1134"/>
            <w:shd w:fill="D9EAF7"/>
          </w:tcPr>
          <w:p>
            <w:r>
              <w:rPr>
                <w:rFonts w:ascii="Calibri" w:hAnsi="Calibri"/>
                <w:b/>
                <w:sz w:val="18"/>
              </w:rPr>
              <w:t>Toplam</w:t>
            </w:r>
          </w:p>
        </w:tc>
        <w:tc>
          <w:tcPr>
            <w:tcW w:type="dxa" w:w="2041"/>
            <w:shd w:fill="D9EAF7"/>
          </w:tcPr>
          <w:p>
            <w:r>
              <w:rPr>
                <w:rFonts w:ascii="Calibri" w:hAnsi="Calibri"/>
                <w:b/>
                <w:sz w:val="18"/>
              </w:rPr>
              <w:t>Medyan hata farki</w:t>
            </w:r>
          </w:p>
        </w:tc>
        <w:tc>
          <w:tcPr>
            <w:tcW w:type="dxa" w:w="1984"/>
            <w:shd w:fill="D9EAF7"/>
          </w:tcPr>
          <w:p>
            <w:r>
              <w:rPr>
                <w:rFonts w:ascii="Calibri" w:hAnsi="Calibri"/>
                <w:b/>
                <w:sz w:val="18"/>
              </w:rPr>
              <w:t>Medyan runtime orani</w:t>
            </w:r>
          </w:p>
        </w:tc>
      </w:tr>
      <w:tr>
        <w:tc>
          <w:tcPr>
            <w:tcW w:type="dxa" w:w="1928"/>
          </w:tcPr>
          <w:p>
            <w:r>
              <w:rPr>
                <w:rFonts w:ascii="Calibri" w:hAnsi="Calibri"/>
                <w:sz w:val="18"/>
              </w:rPr>
              <w:t>Analitik</w:t>
            </w:r>
          </w:p>
        </w:tc>
        <w:tc>
          <w:tcPr>
            <w:tcW w:type="dxa" w:w="1757"/>
          </w:tcPr>
          <w:p>
            <w:r>
              <w:rPr>
                <w:rFonts w:ascii="Calibri" w:hAnsi="Calibri"/>
                <w:sz w:val="18"/>
              </w:rPr>
              <w:t>0</w:t>
            </w:r>
          </w:p>
        </w:tc>
        <w:tc>
          <w:tcPr>
            <w:tcW w:type="dxa" w:w="1134"/>
          </w:tcPr>
          <w:p>
            <w:r>
              <w:rPr>
                <w:rFonts w:ascii="Calibri" w:hAnsi="Calibri"/>
                <w:sz w:val="18"/>
              </w:rPr>
              <w:t>8</w:t>
            </w:r>
          </w:p>
        </w:tc>
        <w:tc>
          <w:tcPr>
            <w:tcW w:type="dxa" w:w="2041"/>
          </w:tcPr>
          <w:p>
            <w:r>
              <w:rPr>
                <w:rFonts w:ascii="Calibri" w:hAnsi="Calibri"/>
                <w:sz w:val="18"/>
              </w:rPr>
              <w:t>0.0000%</w:t>
            </w:r>
          </w:p>
        </w:tc>
        <w:tc>
          <w:tcPr>
            <w:tcW w:type="dxa" w:w="1984"/>
          </w:tcPr>
          <w:p>
            <w:r>
              <w:rPr>
                <w:rFonts w:ascii="Calibri" w:hAnsi="Calibri"/>
                <w:sz w:val="18"/>
              </w:rPr>
              <w:t>4.4x</w:t>
            </w:r>
          </w:p>
        </w:tc>
      </w:tr>
      <w:tr>
        <w:tc>
          <w:tcPr>
            <w:tcW w:type="dxa" w:w="1928"/>
          </w:tcPr>
          <w:p>
            <w:r>
              <w:rPr>
                <w:rFonts w:ascii="Calibri" w:hAnsi="Calibri"/>
                <w:sz w:val="18"/>
              </w:rPr>
              <w:t>Gercekci</w:t>
            </w:r>
          </w:p>
        </w:tc>
        <w:tc>
          <w:tcPr>
            <w:tcW w:type="dxa" w:w="1757"/>
          </w:tcPr>
          <w:p>
            <w:r>
              <w:rPr>
                <w:rFonts w:ascii="Calibri" w:hAnsi="Calibri"/>
                <w:sz w:val="18"/>
              </w:rPr>
              <w:t>0</w:t>
            </w:r>
          </w:p>
        </w:tc>
        <w:tc>
          <w:tcPr>
            <w:tcW w:type="dxa" w:w="1134"/>
          </w:tcPr>
          <w:p>
            <w:r>
              <w:rPr>
                <w:rFonts w:ascii="Calibri" w:hAnsi="Calibri"/>
                <w:sz w:val="18"/>
              </w:rPr>
              <w:t>10</w:t>
            </w:r>
          </w:p>
        </w:tc>
        <w:tc>
          <w:tcPr>
            <w:tcW w:type="dxa" w:w="2041"/>
          </w:tcPr>
          <w:p>
            <w:r>
              <w:rPr>
                <w:rFonts w:ascii="Calibri" w:hAnsi="Calibri"/>
                <w:sz w:val="18"/>
              </w:rPr>
              <w:t>0.0989%</w:t>
            </w:r>
          </w:p>
        </w:tc>
        <w:tc>
          <w:tcPr>
            <w:tcW w:type="dxa" w:w="1984"/>
          </w:tcPr>
          <w:p>
            <w:r>
              <w:rPr>
                <w:rFonts w:ascii="Calibri" w:hAnsi="Calibri"/>
                <w:sz w:val="18"/>
              </w:rPr>
              <w:t>37.1x</w:t>
            </w:r>
          </w:p>
        </w:tc>
      </w:tr>
      <w:tr>
        <w:tc>
          <w:tcPr>
            <w:tcW w:type="dxa" w:w="1928"/>
          </w:tcPr>
          <w:p>
            <w:r>
              <w:rPr>
                <w:rFonts w:ascii="Calibri" w:hAnsi="Calibri"/>
                <w:sz w:val="18"/>
              </w:rPr>
              <w:t>Test Pattern</w:t>
            </w:r>
          </w:p>
        </w:tc>
        <w:tc>
          <w:tcPr>
            <w:tcW w:type="dxa" w:w="1757"/>
          </w:tcPr>
          <w:p>
            <w:r>
              <w:rPr>
                <w:rFonts w:ascii="Calibri" w:hAnsi="Calibri"/>
                <w:sz w:val="18"/>
              </w:rPr>
              <w:t>2</w:t>
            </w:r>
          </w:p>
        </w:tc>
        <w:tc>
          <w:tcPr>
            <w:tcW w:type="dxa" w:w="1134"/>
          </w:tcPr>
          <w:p>
            <w:r>
              <w:rPr>
                <w:rFonts w:ascii="Calibri" w:hAnsi="Calibri"/>
                <w:sz w:val="18"/>
              </w:rPr>
              <w:t>6</w:t>
            </w:r>
          </w:p>
        </w:tc>
        <w:tc>
          <w:tcPr>
            <w:tcW w:type="dxa" w:w="2041"/>
          </w:tcPr>
          <w:p>
            <w:r>
              <w:rPr>
                <w:rFonts w:ascii="Calibri" w:hAnsi="Calibri"/>
                <w:sz w:val="18"/>
              </w:rPr>
              <w:t>0.0419%</w:t>
            </w:r>
          </w:p>
        </w:tc>
        <w:tc>
          <w:tcPr>
            <w:tcW w:type="dxa" w:w="1984"/>
          </w:tcPr>
          <w:p>
            <w:r>
              <w:rPr>
                <w:rFonts w:ascii="Calibri" w:hAnsi="Calibri"/>
                <w:sz w:val="18"/>
              </w:rPr>
              <w:t>39.2x</w:t>
            </w:r>
          </w:p>
        </w:tc>
      </w:tr>
    </w:tbl>
    <w:p/>
    <w:p>
      <w:pPr>
        <w:pStyle w:val="ListBullet"/>
      </w:pPr>
      <w:r>
        <w:t>Analitik yuzeylerde iki yontem neredeyse esit. Buradaki sonuc, yeni yontemin puruzsuz benchmarklarda klasik Jenness'i asmaktan cok ona yaklastigini gosteriyor.</w:t>
      </w:r>
    </w:p>
    <w:p>
      <w:pPr>
        <w:pStyle w:val="ListBullet"/>
      </w:pPr>
      <w:r>
        <w:t>Gercekci yuzey grubunda yeni yontem native seviyede hic kazanamiyor. Ustelik maliyeti dramatik sekilde daha yuksek.</w:t>
      </w:r>
    </w:p>
    <w:p>
      <w:pPr>
        <w:pStyle w:val="ListBullet"/>
      </w:pPr>
      <w:r>
        <w:t>Test pattern grubunda tablo ikiye ayriliyor: patchwork ve mixed yararli, terraced ve crater/waves grubunda ise yarar sinirli ya da negatif.</w:t>
      </w:r>
    </w:p>
    <w:p>
      <w:pPr>
        <w:pStyle w:val="Heading1"/>
      </w:pPr>
      <w:r>
        <w:t>9. Son Hukum</w:t>
      </w:r>
    </w:p>
    <w:p>
      <w:r>
        <w:t>Mevcut benchmark ciktisina dayanarak yeni Jenness turevi yontem icin en dengeli yorum sudur: yontem arastirma acisindan ilgi cekici ve belirli karisik kompozit yuzeylerde anlamli kazanc uretebiliyor; ancak bu haliyle klasik Jenness'in genel amacli yerine gecen yeni varsayilan cozum oldugu soylenemez.</w:t>
      </w:r>
    </w:p>
    <w:p>
      <w:pPr>
        <w:pStyle w:val="ListBullet"/>
      </w:pPr>
      <w:r>
        <w:t>Eger hedef tek bir varsayilan yontem secmekse, mevcut batch klasik Jenness'i destekliyor.</w:t>
      </w:r>
    </w:p>
    <w:p>
      <w:pPr>
        <w:pStyle w:val="ListBullet"/>
      </w:pPr>
      <w:r>
        <w:t>Eger hedef zor karisik yuzeylerde secmeli bir ileri-yontem sunmaksa, yeni Jenness turevi bunu hakli cikaracak ilk isaretleri veriyor.</w:t>
      </w:r>
    </w:p>
    <w:p>
      <w:pPr>
        <w:pStyle w:val="ListBullet"/>
      </w:pPr>
      <w:r>
        <w:t>Bildiride yeni yontemi 'replacement' yerine 'specialized extension' veya 'adaptive variant for mixed surfaces' olarak konumlandirmak daha guclu olabilir.</w:t>
      </w:r>
    </w:p>
    <w:p>
      <w:pPr>
        <w:pStyle w:val="ListBullet"/>
      </w:pPr>
      <w:r>
        <w:t>Bir sonraki deney setinde patchwork/mixed benzeri yuzeyler cogaltilir ve canyon/terraced benzeri kirik geometri icin neden geride kaldigi incelenirse, makaledeki tartisma bolumu cok daha ikna edici olur.</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