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esercizio4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i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(“Inserisci l’iniziale della stagione desiderata: “)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(i)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case (i) {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‘p’ : OUTPUT (“Primavera”)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OUTPUT (“Inizia il 20 marzo”)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OUTPUT (“Finisce il 20 giugno”)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‘e’ : OUTPUT (“Estate”)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OUTPUT (“Inizia il 20 giugno”)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OUTPUT (“Finisce il 22 settembre”)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‘a’ : OUTPUT (“Autunno”)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OUTPUT (“Inizia il 23 settembre”)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OUTPUT (“Finisce il 21 dicembre”)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‘i’ : OUTPUT (“Inverno”)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OUTPUT (“Inizia il 22 dicembre”)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OUTPUT (“Finisce il 20 marzo”)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default : OUTPUT (“Inserisci un carattere valido”)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endcase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