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rodeo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rodeo,g1,g2,g3,punteggio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(“Inserire il numero del toro da calvarcare”)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(“1. Toro (1,75 difficoltà)”)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(“2. Torello (1,35 difficoltà)”)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(“3. Puledro (1 difficoltà)”)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(“: “)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(rodeo)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("Inserire il punteggio dei giudici”)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(“Giudice 1: “)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(g1)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(“Giudice 2: “)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(g2)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(“Giudice 3: “)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 (g3)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case (rodeo)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 : rodeo= 1.75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2 : rodeo= 1.35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3 : rodeo=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OUTPUT (“Inserisci un valore valido”)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((rode&gt;0)&amp;&amp;(rode&lt;4))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punteggio= (g1+g2+g3)*rodeo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OUTPUT (“Il punteggio è “, rodeo)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