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rPr>
          <w:lang w:val="it-IT"/>
        </w:rPr>
      </w:pPr>
      <w:r>
        <w:rPr>
          <w:lang w:val="it-IT"/>
        </w:rPr>
        <w:t>🍇 Cantina Cunéaz Nadir – Gressan</w:t>
      </w:r>
    </w:p>
    <w:p w14:paraId="00000002">
      <w:pPr>
        <w:rPr>
          <w:lang w:val="it-IT"/>
        </w:rPr>
      </w:pPr>
      <w:r>
        <w:rPr>
          <w:lang w:val="it-IT"/>
        </w:rPr>
        <w:t xml:space="preserve">Fondata nel 2009, la Cantina Cunéaz Nadir nasce dall’evoluzione dell’attività agricola di famiglia, tramandata da tre generazioni. Situata alle porte di Aosta, l’azienda produce poche migliaia di bottiglie con un approccio profondamente rispettoso dell’ambiente: nessun diserbante o pesticida, solo trattamenti con rame e zolfo.  </w:t>
      </w:r>
    </w:p>
    <w:p w14:paraId="00000003">
      <w:pPr>
        <w:rPr>
          <w:lang w:val="it-IT"/>
        </w:rPr>
      </w:pPr>
      <w:r>
        <w:rPr>
          <w:lang w:val="it-IT"/>
        </w:rPr>
        <w:t xml:space="preserve">In cantina si segue una filosofia naturale: fermentazioni spontanee o con pied de cuve autoprodotto, uso minimo di solfiti, nessuna chiarifica o filtrazione. L’obiettivo è restituire nel bicchiere l’identità autentica del terroir valdostano.  </w:t>
      </w:r>
    </w:p>
    <w:p w14:paraId="00000004">
      <w:pPr>
        <w:rPr>
          <w:lang w:val="it-IT"/>
        </w:rPr>
      </w:pPr>
      <w:r>
        <w:rPr>
          <w:lang w:val="it-IT"/>
        </w:rPr>
        <w:t>Grande attenzione è dedicata alla biodiversità: molti vigneti superano i 50 anni, alcuni sono centenari. I vitigni coltivati includono autoctoni (Petit Rouge, Vien de Nus, Fumin, Vuillermin) e internazionali (Pinot Noir, Moscato, Gewurztraminer).</w:t>
      </w:r>
    </w:p>
    <w:p w14:paraId="00000005">
      <w:pPr>
        <w:rPr>
          <w:lang w:val="it-IT"/>
        </w:rPr>
      </w:pPr>
      <w:r>
        <w:rPr>
          <w:lang w:val="it-IT"/>
        </w:rPr>
        <w:t>---</w:t>
      </w:r>
    </w:p>
    <w:p w14:paraId="00000006">
      <w:pPr>
        <w:rPr>
          <w:lang w:val="it-IT"/>
        </w:rPr>
      </w:pPr>
      <w:r>
        <w:rPr>
          <w:lang w:val="it-IT"/>
        </w:rPr>
        <w:t>🍷 Grandgosier</w:t>
      </w:r>
    </w:p>
    <w:p w14:paraId="00000007">
      <w:pPr>
        <w:rPr>
          <w:lang w:val="it-IT"/>
        </w:rPr>
      </w:pPr>
      <w:r>
        <w:rPr>
          <w:lang w:val="it-IT"/>
        </w:rPr>
        <w:t>Valle d’Aosta DOP – Pinot Noir 100%</w:t>
      </w:r>
    </w:p>
    <w:p w14:paraId="00000008">
      <w:pPr>
        <w:rPr>
          <w:lang w:val="it-IT"/>
        </w:rPr>
      </w:pPr>
    </w:p>
    <w:p w14:paraId="00000009">
      <w:pPr>
        <w:rPr>
          <w:lang w:val="it-IT"/>
        </w:rPr>
      </w:pPr>
      <w:r>
        <w:rPr>
          <w:lang w:val="it-IT"/>
        </w:rPr>
        <w:t xml:space="preserve">- Zona di produzione: Gressan e Jovencan (AO)  </w:t>
      </w:r>
    </w:p>
    <w:p w14:paraId="0000000A">
      <w:pPr>
        <w:rPr>
          <w:lang w:val="it-IT"/>
        </w:rPr>
      </w:pPr>
      <w:r>
        <w:rPr>
          <w:lang w:val="it-IT"/>
        </w:rPr>
        <w:t xml:space="preserve">- Vendemmia: Manuale – settembre  </w:t>
      </w:r>
    </w:p>
    <w:p w14:paraId="0000000B">
      <w:pPr>
        <w:rPr>
          <w:lang w:val="it-IT"/>
        </w:rPr>
      </w:pPr>
      <w:r>
        <w:rPr>
          <w:lang w:val="it-IT"/>
        </w:rPr>
        <w:t xml:space="preserve">- Vinificazione: Tradizionale in rosso, fermentazione spontanea, macerazione 15 giorni sulle bucce  </w:t>
      </w:r>
    </w:p>
    <w:p w14:paraId="0000000C">
      <w:pPr>
        <w:rPr>
          <w:lang w:val="it-IT"/>
        </w:rPr>
      </w:pPr>
      <w:r>
        <w:rPr>
          <w:lang w:val="it-IT"/>
        </w:rPr>
        <w:t xml:space="preserve">- Fermentazione malolattica: Svolta dopo la svinatura  </w:t>
      </w:r>
    </w:p>
    <w:p w14:paraId="0000000D">
      <w:pPr>
        <w:rPr>
          <w:lang w:val="it-IT"/>
        </w:rPr>
      </w:pPr>
      <w:r>
        <w:rPr>
          <w:lang w:val="it-IT"/>
        </w:rPr>
        <w:t xml:space="preserve">- Affinamento: 12 mesi in barrique e tonneaux + 8 mesi in bottiglia  </w:t>
      </w:r>
    </w:p>
    <w:p w14:paraId="0000000E">
      <w:pPr>
        <w:rPr>
          <w:lang w:val="it-IT"/>
        </w:rPr>
      </w:pPr>
      <w:r>
        <w:rPr>
          <w:lang w:val="it-IT"/>
        </w:rPr>
        <w:t xml:space="preserve">- Imbottigliamento: Senza chiarifiche né filtrazioni  </w:t>
      </w:r>
    </w:p>
    <w:p w14:paraId="0000000F">
      <w:pPr>
        <w:rPr>
          <w:lang w:val="it-IT"/>
        </w:rPr>
      </w:pPr>
      <w:r>
        <w:rPr>
          <w:lang w:val="it-IT"/>
        </w:rPr>
        <w:t>---</w:t>
      </w:r>
    </w:p>
    <w:p w14:paraId="00000010">
      <w:pPr>
        <w:rPr>
          <w:lang w:val="it-IT"/>
        </w:rPr>
      </w:pPr>
      <w:r>
        <w:rPr>
          <w:lang w:val="it-IT"/>
        </w:rPr>
        <w:t>🍷 Gargamelle</w:t>
      </w:r>
    </w:p>
    <w:p w14:paraId="00000011">
      <w:pPr>
        <w:rPr>
          <w:lang w:val="it-IT"/>
        </w:rPr>
      </w:pPr>
      <w:r>
        <w:rPr>
          <w:lang w:val="it-IT"/>
        </w:rPr>
        <w:t>Vino da uve stramature – Moscato 100%</w:t>
      </w:r>
    </w:p>
    <w:p w14:paraId="00000012">
      <w:pPr>
        <w:rPr>
          <w:lang w:val="it-IT"/>
        </w:rPr>
      </w:pPr>
    </w:p>
    <w:p w14:paraId="00000013">
      <w:pPr>
        <w:rPr>
          <w:lang w:val="it-IT"/>
        </w:rPr>
      </w:pPr>
      <w:r>
        <w:rPr>
          <w:lang w:val="it-IT"/>
        </w:rPr>
        <w:t xml:space="preserve">- Zona di produzione: Proprietà Cunéaz – Gressan (AO)  </w:t>
      </w:r>
    </w:p>
    <w:p w14:paraId="00000014">
      <w:pPr>
        <w:rPr>
          <w:lang w:val="it-IT"/>
        </w:rPr>
      </w:pPr>
      <w:r>
        <w:rPr>
          <w:lang w:val="it-IT"/>
        </w:rPr>
        <w:t xml:space="preserve">- Vendemmia: Manuale – fine ottobre  </w:t>
      </w:r>
    </w:p>
    <w:p w14:paraId="00000015">
      <w:pPr>
        <w:rPr>
          <w:lang w:val="it-IT"/>
        </w:rPr>
      </w:pPr>
      <w:r>
        <w:rPr>
          <w:lang w:val="it-IT"/>
        </w:rPr>
        <w:t xml:space="preserve">- Appassimento: In cassette per 1–2 mesi  </w:t>
      </w:r>
    </w:p>
    <w:p w14:paraId="00000016">
      <w:pPr>
        <w:rPr>
          <w:lang w:val="it-IT"/>
        </w:rPr>
      </w:pPr>
      <w:r>
        <w:rPr>
          <w:lang w:val="it-IT"/>
        </w:rPr>
        <w:t xml:space="preserve">- Vinificazione: Fermentazione spontanea, macerazione 15 giorni sulle bucce  </w:t>
      </w:r>
    </w:p>
    <w:p w14:paraId="00000017">
      <w:pPr>
        <w:rPr>
          <w:lang w:val="it-IT"/>
        </w:rPr>
      </w:pPr>
      <w:r>
        <w:rPr>
          <w:lang w:val="it-IT"/>
        </w:rPr>
        <w:t xml:space="preserve">- Affinamento: In barriques per almeno 12 mesi (fino a 24–36 mesi in alcune annate) + 8 mesi in bottiglia  </w:t>
      </w:r>
    </w:p>
    <w:p w14:paraId="00000018">
      <w:pPr>
        <w:rPr>
          <w:lang w:val="it-IT"/>
        </w:rPr>
      </w:pPr>
      <w:r>
        <w:rPr>
          <w:lang w:val="it-IT"/>
        </w:rPr>
        <w:t xml:space="preserve">- Imbottigliamento: Senza chiarifiche né filtrazioni  </w:t>
      </w:r>
    </w:p>
    <w:p w14:paraId="00000019">
      <w:pPr>
        <w:rPr>
          <w:lang w:val="it-IT"/>
        </w:rPr>
      </w:pPr>
    </w:p>
    <w:p w14:paraId="0000001A">
      <w:pPr>
        <w:rPr>
          <w:lang w:val="it-IT"/>
        </w:rPr>
      </w:pPr>
      <w:r>
        <w:rPr>
          <w:lang w:val="it-IT"/>
        </w:rPr>
        <w:t>---</w:t>
      </w:r>
    </w:p>
    <w:p w14:paraId="0000001B">
      <w:pPr>
        <w:rPr>
          <w:lang w:val="it-IT"/>
        </w:rPr>
      </w:pPr>
    </w:p>
    <w:p w14:paraId="0000001C">
      <w:pPr>
        <w:rPr>
          <w:lang w:val="it-IT"/>
        </w:rPr>
      </w:pPr>
      <w:r>
        <w:rPr>
          <w:lang w:val="it-IT"/>
        </w:rPr>
        <w:t>🍷 L’Entso</w:t>
      </w:r>
    </w:p>
    <w:p w14:paraId="0000001D">
      <w:pPr>
        <w:rPr>
          <w:lang w:val="it-IT"/>
        </w:rPr>
      </w:pPr>
      <w:r>
        <w:rPr>
          <w:lang w:val="it-IT"/>
        </w:rPr>
        <w:t>Vino Rosso – Fumin 80%, Barbera 20%</w:t>
      </w:r>
    </w:p>
    <w:p w14:paraId="0000001E">
      <w:pPr>
        <w:rPr>
          <w:lang w:val="it-IT"/>
        </w:rPr>
      </w:pPr>
    </w:p>
    <w:p w14:paraId="0000001F">
      <w:pPr>
        <w:rPr>
          <w:lang w:val="it-IT"/>
        </w:rPr>
      </w:pPr>
      <w:r>
        <w:rPr>
          <w:lang w:val="it-IT"/>
        </w:rPr>
        <w:t xml:space="preserve">- Zona di produzione: Vigne giovani di Fumin e vigna vecchia di Barbera – Gressan (AO)  </w:t>
      </w:r>
    </w:p>
    <w:p w14:paraId="00000020">
      <w:pPr>
        <w:rPr>
          <w:lang w:val="it-IT"/>
        </w:rPr>
      </w:pPr>
      <w:r>
        <w:rPr>
          <w:lang w:val="it-IT"/>
        </w:rPr>
        <w:t xml:space="preserve">- Nome: “Entso” significa “inchiostro” in patois valdostano, richiamo al colore intenso del vino  </w:t>
      </w:r>
    </w:p>
    <w:p w14:paraId="00000021">
      <w:pPr>
        <w:rPr>
          <w:lang w:val="it-IT"/>
        </w:rPr>
      </w:pPr>
      <w:r>
        <w:rPr>
          <w:lang w:val="it-IT"/>
        </w:rPr>
        <w:t xml:space="preserve">- Vinificazione: Non specificata nel dettaglio  </w:t>
      </w:r>
    </w:p>
    <w:p w14:paraId="00000022">
      <w:pPr>
        <w:rPr>
          <w:lang w:val="it-IT"/>
        </w:rPr>
      </w:pPr>
      <w:r>
        <w:rPr>
          <w:lang w:val="it-IT"/>
        </w:rPr>
        <w:t xml:space="preserve">- Note di degustazione: Vino longevo, di grande corpo, colore porpora/blu, struttura importante e personalità  </w:t>
      </w:r>
    </w:p>
    <w:sectPr>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footnotePr/>
  <w:endnotePr/>
  <w:compat>
    <w:compatSetting w:name="compatibilityMode" w:uri="http://schemas.microsoft.com/office/word" w:val="14"/>
  </w:compat>
  <w:themeFontLang w:val="it-IT"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settings" Target="settings.xml"/></Relationships>
</file>

<file path=word/theme/theme1.xml><?xml version="1.0" encoding="utf-8"?>
<a:theme xmlns:a="http://schemas.openxmlformats.org/drawingml/2006/main" name="Predefinit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unknown</cp:lastModifiedBy>
</cp:coreProperties>
</file>