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 Priod – Vignaioli di Issogne</w:t>
      </w:r>
    </w:p>
    <w:p w14:paraId="00000002">
      <w:pPr>
        <w:rPr>
          <w:lang w:val="it-IT"/>
        </w:rPr>
      </w:pPr>
      <w:r>
        <w:rPr>
          <w:lang w:val="it-IT"/>
        </w:rPr>
        <w:t xml:space="preserve">Dal 1995, la famiglia Priod produce vino naturale nel comune di Issogne, sulla destra orografica della Dora Baltea, in zona Arnad-Montjovet.  </w:t>
      </w:r>
    </w:p>
    <w:p w14:paraId="00000003">
      <w:pPr>
        <w:rPr>
          <w:lang w:val="it-IT"/>
        </w:rPr>
      </w:pPr>
      <w:r>
        <w:rPr>
          <w:lang w:val="it-IT"/>
        </w:rPr>
        <w:t xml:space="preserve">La tradizione vitivinicola risale a tre generazioni, con vigneti coltivati da oltre 70 anni. L’azienda lavora circa 1 ettaro di terreno, frazionato in piccoli appezzamenti adiacenti, con rese molto basse (circa 1 kg di uva per vite) e una produzione annua di circa 5.000 bottiglie, destinata a salire a 6.000 con la nuova cantina attiva dalla vendemmia 2024.  </w:t>
      </w:r>
    </w:p>
    <w:p w14:paraId="00000004">
      <w:pPr>
        <w:rPr>
          <w:lang w:val="it-IT"/>
        </w:rPr>
      </w:pPr>
      <w:r>
        <w:rPr>
          <w:lang w:val="it-IT"/>
        </w:rPr>
        <w:t>La filosofia è artigianale e naturale: raccolta manuale, fermentazioni spontanee con lieviti indigeni, nessun diserbante o insetticida, e vinificazioni in purezza o in uvaggio con vitigni autoctoni.</w:t>
      </w:r>
    </w:p>
    <w:p w14:paraId="00000005">
      <w:pPr>
        <w:rPr/>
      </w:pPr>
    </w:p>
    <w:p w14:paraId="00000006">
      <w:pPr>
        <w:rPr>
          <w:lang w:val="it-IT"/>
        </w:rPr>
      </w:pPr>
      <w:r>
        <w:rPr>
          <w:lang w:val="it-IT"/>
        </w:rPr>
        <w:t>---</w:t>
      </w:r>
    </w:p>
    <w:p w14:paraId="00000007">
      <w:pPr>
        <w:rPr/>
      </w:pPr>
    </w:p>
    <w:p w14:paraId="00000008">
      <w:pPr>
        <w:rPr/>
      </w:pPr>
      <w:r>
        <w:t>🍷 Rouge Tonen</w:t>
      </w:r>
    </w:p>
    <w:p w14:paraId="00000009">
      <w:pPr>
        <w:rPr>
          <w:lang w:val="it-IT"/>
        </w:rPr>
      </w:pPr>
      <w:r>
        <w:rPr>
          <w:lang w:val="it-IT"/>
        </w:rPr>
        <w:t>Vin de table – Merlot in purezza</w:t>
      </w:r>
    </w:p>
    <w:p w14:paraId="0000000A">
      <w:pPr>
        <w:rPr/>
      </w:pPr>
    </w:p>
    <w:p w14:paraId="0000000B">
      <w:pPr>
        <w:rPr>
          <w:lang w:val="it-IT"/>
        </w:rPr>
      </w:pPr>
      <w:r>
        <w:rPr>
          <w:lang w:val="it-IT"/>
        </w:rPr>
        <w:t>&gt; Un Merlot moderno e internazionale, ma sempre naturale e con pochissimi solfiti. Struttura ideale per lunghi e sorprendenti invecchiamenti.</w:t>
      </w:r>
    </w:p>
    <w:p w14:paraId="0000000C">
      <w:pPr>
        <w:rPr/>
      </w:pPr>
    </w:p>
    <w:p w14:paraId="0000000D">
      <w:pPr>
        <w:rPr>
          <w:lang w:val="it-IT"/>
        </w:rPr>
      </w:pPr>
      <w:r>
        <w:rPr>
          <w:lang w:val="it-IT"/>
        </w:rPr>
        <w:t xml:space="preserve">- Vitigno: 100% Merlot (clone francese)  </w:t>
      </w:r>
    </w:p>
    <w:p w14:paraId="0000000E">
      <w:pPr>
        <w:rPr>
          <w:lang w:val="it-IT"/>
        </w:rPr>
      </w:pPr>
      <w:r>
        <w:rPr>
          <w:lang w:val="it-IT"/>
        </w:rPr>
        <w:t xml:space="preserve">- Zona di origine: Issogne (AO)  </w:t>
      </w:r>
    </w:p>
    <w:p w14:paraId="0000000F">
      <w:pPr>
        <w:rPr>
          <w:lang w:val="it-IT"/>
        </w:rPr>
      </w:pPr>
      <w:r>
        <w:rPr>
          <w:lang w:val="it-IT"/>
        </w:rPr>
        <w:t xml:space="preserve">- Sistema colturale: Guyot semplice tra muretti in pietra, senza chimica, con lotta integrata (CEE 2078/92)  </w:t>
      </w:r>
    </w:p>
    <w:p w14:paraId="00000010">
      <w:pPr>
        <w:rPr>
          <w:lang w:val="it-IT"/>
        </w:rPr>
      </w:pPr>
      <w:r>
        <w:rPr>
          <w:lang w:val="it-IT"/>
        </w:rPr>
        <w:t xml:space="preserve">- Vinificazione: Tradizionale, spontanea, con diraspatura e macerazione 12–14 giorni a 20–23 °C  </w:t>
      </w:r>
    </w:p>
    <w:p w14:paraId="00000011">
      <w:pPr>
        <w:rPr>
          <w:lang w:val="it-IT"/>
        </w:rPr>
      </w:pPr>
      <w:r>
        <w:rPr>
          <w:lang w:val="it-IT"/>
        </w:rPr>
        <w:t xml:space="preserve">- Fermentazione malolattica: Ultimata entro fine novembre  </w:t>
      </w:r>
    </w:p>
    <w:p w14:paraId="00000012">
      <w:pPr>
        <w:rPr>
          <w:lang w:val="it-IT"/>
        </w:rPr>
      </w:pPr>
      <w:r>
        <w:rPr>
          <w:lang w:val="it-IT"/>
        </w:rPr>
        <w:t xml:space="preserve">- Invecchiamento: 18 mesi in inox + 12 mesi in bottiglia  </w:t>
      </w:r>
    </w:p>
    <w:p w14:paraId="00000013">
      <w:pPr>
        <w:rPr>
          <w:lang w:val="it-IT"/>
        </w:rPr>
      </w:pPr>
      <w:r>
        <w:rPr>
          <w:lang w:val="it-IT"/>
        </w:rPr>
        <w:t xml:space="preserve">- Vista: Rosso rubino intenso tendente al violaceo  </w:t>
      </w:r>
    </w:p>
    <w:p w14:paraId="00000014">
      <w:pPr>
        <w:rPr>
          <w:lang w:val="it-IT"/>
        </w:rPr>
      </w:pPr>
      <w:r>
        <w:rPr>
          <w:lang w:val="it-IT"/>
        </w:rPr>
        <w:t xml:space="preserve">- Olfatto: Vinoso, erbaceo, bouquet gradevole  </w:t>
      </w:r>
    </w:p>
    <w:p w14:paraId="00000015">
      <w:pPr>
        <w:rPr>
          <w:lang w:val="it-IT"/>
        </w:rPr>
      </w:pPr>
      <w:r>
        <w:rPr>
          <w:lang w:val="it-IT"/>
        </w:rPr>
        <w:t xml:space="preserve">- Gusto: Asciutto, giustamente tannico, corposo, elegante, con fondo amarognolo  </w:t>
      </w:r>
    </w:p>
    <w:p w14:paraId="00000016">
      <w:pPr>
        <w:rPr>
          <w:lang w:val="it-IT"/>
        </w:rPr>
      </w:pPr>
      <w:r>
        <w:rPr>
          <w:lang w:val="it-IT"/>
        </w:rPr>
        <w:t xml:space="preserve">- Gradazione alcolica: 14,0% vol  </w:t>
      </w:r>
    </w:p>
    <w:p w14:paraId="00000017">
      <w:pPr>
        <w:rPr>
          <w:lang w:val="it-IT"/>
        </w:rPr>
      </w:pPr>
      <w:r>
        <w:rPr>
          <w:lang w:val="it-IT"/>
        </w:rPr>
        <w:t xml:space="preserve">- Acidità: 5,74 g/l  </w:t>
      </w:r>
    </w:p>
    <w:p w14:paraId="00000018">
      <w:pPr>
        <w:rPr>
          <w:lang w:val="it-IT"/>
        </w:rPr>
      </w:pPr>
      <w:r>
        <w:rPr>
          <w:lang w:val="it-IT"/>
        </w:rPr>
        <w:t xml:space="preserve">- Temperatura di servizio: 18–20 °C (decantare prima)  </w:t>
      </w:r>
    </w:p>
    <w:p w14:paraId="00000019">
      <w:pPr>
        <w:rPr>
          <w:lang w:val="it-IT"/>
        </w:rPr>
      </w:pPr>
      <w:r>
        <w:rPr>
          <w:lang w:val="it-IT"/>
        </w:rPr>
        <w:t xml:space="preserve">- Abbinamenti: Primi saporiti, funghi porcini, grigliate, cacciagione, arrosti  </w:t>
      </w:r>
    </w:p>
    <w:p w14:paraId="0000001A">
      <w:pPr>
        <w:rPr/>
      </w:pPr>
    </w:p>
    <w:p w14:paraId="0000001B">
      <w:pPr>
        <w:rPr>
          <w:lang w:val="it-IT"/>
        </w:rPr>
      </w:pPr>
      <w:r>
        <w:rPr>
          <w:lang w:val="it-IT"/>
        </w:rPr>
        <w:t>---</w:t>
      </w:r>
    </w:p>
    <w:p w14:paraId="0000001C">
      <w:pPr>
        <w:rPr/>
      </w:pPr>
    </w:p>
    <w:p w14:paraId="0000001D">
      <w:pPr>
        <w:rPr/>
      </w:pPr>
      <w:r>
        <w:t>🥂 Patri Meo Rosé</w:t>
      </w:r>
    </w:p>
    <w:p w14:paraId="0000001E">
      <w:pPr>
        <w:rPr>
          <w:lang w:val="it-IT"/>
        </w:rPr>
      </w:pPr>
      <w:r>
        <w:rPr>
          <w:lang w:val="it-IT"/>
        </w:rPr>
        <w:t>Vin de table – Merlot in purezza</w:t>
      </w:r>
    </w:p>
    <w:p w14:paraId="0000001F">
      <w:pPr>
        <w:rPr/>
      </w:pPr>
    </w:p>
    <w:p w14:paraId="00000020">
      <w:pPr>
        <w:rPr>
          <w:lang w:val="it-IT"/>
        </w:rPr>
      </w:pPr>
      <w:r>
        <w:rPr>
          <w:lang w:val="it-IT"/>
        </w:rPr>
        <w:t>&gt; Un rosé che guarda al presente, sempre naturale e con pochissimi solfiti. Perfetto come aperitivo, ottimo con pesce, crostacei e carni delicate.</w:t>
      </w:r>
    </w:p>
    <w:p w14:paraId="00000021">
      <w:pPr>
        <w:rPr/>
      </w:pPr>
    </w:p>
    <w:p w14:paraId="00000022">
      <w:pPr>
        <w:rPr>
          <w:lang w:val="it-IT"/>
        </w:rPr>
      </w:pPr>
      <w:r>
        <w:rPr>
          <w:lang w:val="it-IT"/>
        </w:rPr>
        <w:t xml:space="preserve">- Vitigno: 100% Merlot (clone francese)  </w:t>
      </w:r>
    </w:p>
    <w:p w14:paraId="00000023">
      <w:pPr>
        <w:rPr>
          <w:lang w:val="it-IT"/>
        </w:rPr>
      </w:pPr>
      <w:r>
        <w:rPr>
          <w:lang w:val="it-IT"/>
        </w:rPr>
        <w:t xml:space="preserve">- Zona di origine: Issogne (AO)  </w:t>
      </w:r>
    </w:p>
    <w:p w14:paraId="00000024">
      <w:pPr>
        <w:rPr>
          <w:lang w:val="it-IT"/>
        </w:rPr>
      </w:pPr>
      <w:r>
        <w:rPr>
          <w:lang w:val="it-IT"/>
        </w:rPr>
        <w:t xml:space="preserve">- Sistema colturale: Guyot semplice tra muretti in pietra, senza chimica, con lotta integrata  </w:t>
      </w:r>
    </w:p>
    <w:p w14:paraId="00000025">
      <w:pPr>
        <w:rPr>
          <w:lang w:val="it-IT"/>
        </w:rPr>
      </w:pPr>
      <w:r>
        <w:rPr>
          <w:lang w:val="it-IT"/>
        </w:rPr>
        <w:t xml:space="preserve">- Vinificazione: Pressatura soffice del grappolo intero (5–8 min), decantazione 24h, fermentazione con lieviti selezionati per 15 giorni  </w:t>
      </w:r>
    </w:p>
    <w:p w14:paraId="00000026">
      <w:pPr>
        <w:rPr>
          <w:lang w:val="it-IT"/>
        </w:rPr>
      </w:pPr>
      <w:r>
        <w:rPr>
          <w:lang w:val="it-IT"/>
        </w:rPr>
        <w:t xml:space="preserve">- Invecchiamento: 4 mesi in inox  </w:t>
      </w:r>
    </w:p>
    <w:p w14:paraId="00000027">
      <w:pPr>
        <w:rPr>
          <w:lang w:val="it-IT"/>
        </w:rPr>
      </w:pPr>
      <w:r>
        <w:rPr>
          <w:lang w:val="it-IT"/>
        </w:rPr>
        <w:t xml:space="preserve">- Produzione 2023: 700 bottiglie + 100 magnum  </w:t>
      </w:r>
    </w:p>
    <w:p w14:paraId="00000028">
      <w:pPr>
        <w:rPr>
          <w:lang w:val="it-IT"/>
        </w:rPr>
      </w:pPr>
      <w:r>
        <w:rPr>
          <w:lang w:val="it-IT"/>
        </w:rPr>
        <w:t xml:space="preserve">- Vista: Arancione chiaro  </w:t>
      </w:r>
    </w:p>
    <w:p w14:paraId="00000029">
      <w:pPr>
        <w:rPr>
          <w:lang w:val="it-IT"/>
        </w:rPr>
      </w:pPr>
      <w:r>
        <w:rPr>
          <w:lang w:val="it-IT"/>
        </w:rPr>
        <w:t xml:space="preserve">- Olfatto: Frutta fresca, bouquet gradevole  </w:t>
      </w:r>
    </w:p>
    <w:p w14:paraId="0000002A">
      <w:pPr>
        <w:rPr>
          <w:lang w:val="it-IT"/>
        </w:rPr>
      </w:pPr>
      <w:r>
        <w:rPr>
          <w:lang w:val="it-IT"/>
        </w:rPr>
        <w:t xml:space="preserve">- Gusto: Asciutto, elegante, giustamente tannico  </w:t>
      </w:r>
    </w:p>
    <w:p w14:paraId="0000002B">
      <w:pPr>
        <w:rPr>
          <w:lang w:val="it-IT"/>
        </w:rPr>
      </w:pPr>
      <w:r>
        <w:rPr>
          <w:lang w:val="it-IT"/>
        </w:rPr>
        <w:t xml:space="preserve">- Gradazione alcolica: 12,5% vol  </w:t>
      </w:r>
    </w:p>
    <w:p w14:paraId="0000002C">
      <w:pPr>
        <w:rPr>
          <w:lang w:val="it-IT"/>
        </w:rPr>
      </w:pPr>
      <w:r>
        <w:rPr>
          <w:lang w:val="it-IT"/>
        </w:rPr>
        <w:t xml:space="preserve">- Acidità: 7,55 g/l  </w:t>
      </w:r>
    </w:p>
    <w:p w14:paraId="0000002D">
      <w:pPr>
        <w:rPr>
          <w:lang w:val="it-IT"/>
        </w:rPr>
      </w:pPr>
      <w:r>
        <w:rPr>
          <w:lang w:val="it-IT"/>
        </w:rPr>
        <w:t xml:space="preserve">- Temperatura di servizio: 5–8 °C  </w:t>
      </w:r>
    </w:p>
    <w:p w14:paraId="0000002E">
      <w:pPr>
        <w:rPr>
          <w:lang w:val="it-IT"/>
        </w:rPr>
      </w:pPr>
      <w:r>
        <w:rPr>
          <w:lang w:val="it-IT"/>
        </w:rPr>
        <w:t xml:space="preserve">- Abbinamenti: Primi piatti, pesce, crostacei, carni delicate, aperitivo  </w:t>
      </w:r>
    </w:p>
    <w:p w14:paraId="0000002F">
      <w:pPr>
        <w:rPr/>
      </w:pPr>
    </w:p>
    <w:p w14:paraId="00000030">
      <w:pPr>
        <w:rPr>
          <w:lang w:val="it-IT"/>
        </w:rPr>
      </w:pPr>
      <w:r>
        <w:rPr>
          <w:lang w:val="it-IT"/>
        </w:rPr>
        <w:t>---</w:t>
      </w:r>
    </w:p>
    <w:p w14:paraId="00000031">
      <w:pPr>
        <w:rPr/>
      </w:pPr>
    </w:p>
    <w:p w14:paraId="00000032">
      <w:pPr>
        <w:rPr/>
      </w:pPr>
      <w:r>
        <w:t>🍷 Bocoueil</w:t>
      </w:r>
    </w:p>
    <w:p w14:paraId="00000033">
      <w:pPr>
        <w:rPr>
          <w:lang w:val="it-IT"/>
        </w:rPr>
      </w:pPr>
      <w:r>
        <w:rPr>
          <w:lang w:val="it-IT"/>
        </w:rPr>
        <w:t>Vin de table – Nebbiolo, Barbera, Merlot e autoctoni</w:t>
      </w:r>
    </w:p>
    <w:p w14:paraId="00000034">
      <w:pPr>
        <w:rPr/>
      </w:pPr>
    </w:p>
    <w:p w14:paraId="00000035">
      <w:pPr>
        <w:rPr>
          <w:lang w:val="it-IT"/>
        </w:rPr>
      </w:pPr>
      <w:r>
        <w:rPr>
          <w:lang w:val="it-IT"/>
        </w:rPr>
        <w:t>&gt; Vino tradizionale, legato al territorio, naturale e con pochissimi solfiti. Struttura ideale per lunghi e sorprendenti invecchiamenti.</w:t>
      </w:r>
    </w:p>
    <w:p w14:paraId="00000036">
      <w:pPr>
        <w:rPr/>
      </w:pPr>
    </w:p>
    <w:p w14:paraId="00000037">
      <w:pPr>
        <w:rPr>
          <w:lang w:val="it-IT"/>
        </w:rPr>
      </w:pPr>
      <w:r>
        <w:rPr>
          <w:lang w:val="it-IT"/>
        </w:rPr>
        <w:t xml:space="preserve">- Uvaggio: Nebbiolo (35%), Barbera (31%), Merlot (25%), autoctoni (9%)  </w:t>
      </w:r>
    </w:p>
    <w:p w14:paraId="00000038">
      <w:pPr>
        <w:rPr>
          <w:lang w:val="it-IT"/>
        </w:rPr>
      </w:pPr>
      <w:r>
        <w:rPr>
          <w:lang w:val="it-IT"/>
        </w:rPr>
        <w:t xml:space="preserve">- Zona di origine: Issogne (AO), area DOC Arnad-Montjovet  </w:t>
      </w:r>
    </w:p>
    <w:p w14:paraId="00000039">
      <w:pPr>
        <w:rPr>
          <w:lang w:val="it-IT"/>
        </w:rPr>
      </w:pPr>
      <w:r>
        <w:rPr>
          <w:lang w:val="it-IT"/>
        </w:rPr>
        <w:t xml:space="preserve">- Sistema colturale: Guyot semplice e pergola tradizionale, tra muretti in pietra, senza chimica, con lotta integrata  </w:t>
      </w:r>
    </w:p>
    <w:p w14:paraId="0000003A">
      <w:pPr>
        <w:rPr>
          <w:lang w:val="it-IT"/>
        </w:rPr>
      </w:pPr>
      <w:r>
        <w:rPr>
          <w:lang w:val="it-IT"/>
        </w:rPr>
        <w:t xml:space="preserve">- Vinificazione: Tradizionale in tino di legno, macerazione 12–14 giorni a 20–23 °C  </w:t>
      </w:r>
    </w:p>
    <w:p w14:paraId="0000003B">
      <w:pPr>
        <w:rPr>
          <w:lang w:val="it-IT"/>
        </w:rPr>
      </w:pPr>
      <w:r>
        <w:rPr>
          <w:lang w:val="it-IT"/>
        </w:rPr>
        <w:t xml:space="preserve">- Fermentazione malolattica: Ultimata entro fine novembre  </w:t>
      </w:r>
    </w:p>
    <w:p w14:paraId="0000003C">
      <w:pPr>
        <w:rPr>
          <w:lang w:val="it-IT"/>
        </w:rPr>
      </w:pPr>
      <w:r>
        <w:rPr>
          <w:lang w:val="it-IT"/>
        </w:rPr>
        <w:t xml:space="preserve">- Invecchiamento: 18 mesi in inox + 12 mesi in bottiglia  </w:t>
      </w:r>
    </w:p>
    <w:p w14:paraId="0000003D">
      <w:pPr>
        <w:rPr>
          <w:lang w:val="it-IT"/>
        </w:rPr>
      </w:pPr>
      <w:r>
        <w:rPr>
          <w:lang w:val="it-IT"/>
        </w:rPr>
        <w:t xml:space="preserve">- Vista: Rosso rubino intenso tendente al violaceo  </w:t>
      </w:r>
    </w:p>
    <w:p w14:paraId="0000003E">
      <w:pPr>
        <w:rPr>
          <w:lang w:val="it-IT"/>
        </w:rPr>
      </w:pPr>
      <w:r>
        <w:rPr>
          <w:lang w:val="it-IT"/>
        </w:rPr>
        <w:t xml:space="preserve">- Olfatto: Mandorla, frutta rossa, vinoso e pieno  </w:t>
      </w:r>
    </w:p>
    <w:p w14:paraId="0000003F">
      <w:pPr>
        <w:rPr>
          <w:lang w:val="it-IT"/>
        </w:rPr>
      </w:pPr>
      <w:r>
        <w:rPr>
          <w:lang w:val="it-IT"/>
        </w:rPr>
        <w:t xml:space="preserve">- Gusto: Asciutto, corposo, armonico, con retrogusto amarognolo  </w:t>
      </w:r>
    </w:p>
    <w:p w14:paraId="00000040">
      <w:pPr>
        <w:rPr>
          <w:lang w:val="it-IT"/>
        </w:rPr>
      </w:pPr>
      <w:r>
        <w:rPr>
          <w:lang w:val="it-IT"/>
        </w:rPr>
        <w:t xml:space="preserve">- Gradazione alcolica: 14,5% vol  </w:t>
      </w:r>
    </w:p>
    <w:p w14:paraId="00000041">
      <w:pPr>
        <w:rPr>
          <w:lang w:val="it-IT"/>
        </w:rPr>
      </w:pPr>
      <w:r>
        <w:rPr>
          <w:lang w:val="it-IT"/>
        </w:rPr>
        <w:t xml:space="preserve">- Acidità: 5,64 g/l  </w:t>
      </w:r>
    </w:p>
    <w:p w14:paraId="00000042">
      <w:pPr>
        <w:rPr>
          <w:lang w:val="it-IT"/>
        </w:rPr>
      </w:pPr>
      <w:r>
        <w:rPr>
          <w:lang w:val="it-IT"/>
        </w:rPr>
        <w:t xml:space="preserve">- Temperatura di servizio: 18–20 °C (decantare prima)  </w:t>
      </w:r>
    </w:p>
    <w:p w14:paraId="00000043">
      <w:pPr>
        <w:rPr>
          <w:lang w:val="it-IT"/>
        </w:rPr>
      </w:pPr>
      <w:r>
        <w:rPr>
          <w:lang w:val="it-IT"/>
        </w:rPr>
        <w:t xml:space="preserve">- Abbinamenti: Formaggi stagionati, salumi, lardo, carni rosse, capretto, selvaggina, zuppe locali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