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80"/>
        <w:jc w:val="center"/>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762000"/>
                    </a:xfrm>
                    <a:prstGeom prst="rect">
                      <a:avLst/>
                    </a:prstGeom>
                  </pic:spPr>
                </pic:pic>
              </a:graphicData>
            </a:graphic>
          </wp:inline>
        </w:drawing>
      </w:r>
    </w:p>
    <w:p>
      <w:pPr>
        <w:pBdr>
          <w:bottom w:val="single" w:color="1a3a6b" w:sz="8"/>
        </w:pBdr>
        <w:spacing w:before="60" w:after="60"/>
      </w:pPr>
    </w:p>
    <w:p>
      <w:pPr>
        <w:spacing w:before="360"/>
      </w:pPr>
    </w:p>
    <w:p>
      <w:pPr>
        <w:spacing w:after="160"/>
        <w:jc w:val="center"/>
      </w:pPr>
      <w:r>
        <w:rPr>
          <w:rFonts w:ascii="Calibri" w:cs="Calibri" w:eastAsia="Calibri" w:hAnsi="Calibri"/>
          <w:b/>
          <w:bCs/>
          <w:color w:val="1a3a6b"/>
          <w:sz w:val="36"/>
          <w:szCs w:val="36"/>
        </w:rPr>
        <w:t xml:space="preserve">WORKFORCE &amp; ECONOMIC MOBILITY PATHWAY</w:t>
      </w:r>
    </w:p>
    <w:p>
      <w:pPr>
        <w:spacing w:after="120"/>
        <w:jc w:val="center"/>
      </w:pPr>
      <w:r>
        <w:rPr>
          <w:rFonts w:ascii="Calibri" w:cs="Calibri" w:eastAsia="Calibri" w:hAnsi="Calibri"/>
          <w:color w:val="333333"/>
          <w:sz w:val="28"/>
          <w:szCs w:val="28"/>
        </w:rPr>
        <w:t xml:space="preserve">Workforce to Homeownership Mobility Program</w:t>
      </w:r>
    </w:p>
    <w:p>
      <w:pPr>
        <w:spacing w:after="480"/>
        <w:jc w:val="center"/>
      </w:pPr>
      <w:r>
        <w:rPr>
          <w:rFonts w:ascii="Calibri" w:cs="Calibri" w:eastAsia="Calibri" w:hAnsi="Calibri"/>
          <w:i/>
          <w:iCs/>
          <w:color w:val="666666"/>
          <w:sz w:val="24"/>
          <w:szCs w:val="24"/>
        </w:rPr>
        <w:t xml:space="preserve">Proposal for Strategic Collaboration</w:t>
      </w:r>
    </w:p>
    <w:p>
      <w:pPr>
        <w:pBdr>
          <w:bottom w:val="single" w:color="1a3a6b" w:sz="8"/>
        </w:pBdr>
        <w:spacing w:before="60" w:after="60"/>
      </w:pPr>
    </w:p>
    <w:p>
      <w:pPr>
        <w:spacing w:before="360"/>
      </w:pPr>
    </w:p>
    <w:p>
      <w:pPr>
        <w:spacing w:after="60"/>
        <w:jc w:val="center"/>
      </w:pPr>
      <w:r>
        <w:rPr>
          <w:rFonts w:ascii="Calibri" w:cs="Calibri" w:eastAsia="Calibri" w:hAnsi="Calibri"/>
          <w:b/>
          <w:bCs/>
          <w:color w:val="1a3a6b"/>
          <w:sz w:val="22"/>
          <w:szCs w:val="22"/>
        </w:rPr>
        <w:t xml:space="preserve">Prepared By:</w:t>
      </w:r>
    </w:p>
    <w:p>
      <w:pPr>
        <w:spacing w:after="40"/>
        <w:jc w:val="center"/>
      </w:pPr>
      <w:r>
        <w:rPr>
          <w:rFonts w:ascii="Calibri" w:cs="Calibri" w:eastAsia="Calibri" w:hAnsi="Calibri"/>
          <w:sz w:val="22"/>
          <w:szCs w:val="22"/>
        </w:rPr>
        <w:t xml:space="preserve">Elevate for Humanity</w:t>
      </w:r>
    </w:p>
    <w:p>
      <w:pPr>
        <w:spacing w:after="280"/>
        <w:jc w:val="center"/>
      </w:pPr>
      <w:r>
        <w:rPr>
          <w:rFonts w:ascii="Calibri" w:cs="Calibri" w:eastAsia="Calibri" w:hAnsi="Calibri"/>
          <w:sz w:val="22"/>
          <w:szCs w:val="22"/>
        </w:rPr>
        <w:t xml:space="preserve">Founder &amp; Executive Director, Elizabeth L. Greene</w:t>
      </w:r>
    </w:p>
    <w:p>
      <w:pPr>
        <w:spacing w:after="60"/>
        <w:jc w:val="center"/>
      </w:pPr>
      <w:r>
        <w:rPr>
          <w:rFonts w:ascii="Calibri" w:cs="Calibri" w:eastAsia="Calibri" w:hAnsi="Calibri"/>
          <w:b/>
          <w:bCs/>
          <w:color w:val="1a3a6b"/>
          <w:sz w:val="22"/>
          <w:szCs w:val="22"/>
        </w:rPr>
        <w:t xml:space="preserve">Prepared For:</w:t>
      </w:r>
    </w:p>
    <w:p>
      <w:pPr>
        <w:spacing w:after="40"/>
        <w:jc w:val="center"/>
      </w:pPr>
      <w:r>
        <w:rPr>
          <w:rFonts w:ascii="Calibri" w:cs="Calibri" w:eastAsia="Calibri" w:hAnsi="Calibri"/>
          <w:sz w:val="22"/>
          <w:szCs w:val="22"/>
        </w:rPr>
        <w:t xml:space="preserve">Housing Authority Partners</w:t>
      </w:r>
    </w:p>
    <w:p>
      <w:pPr>
        <w:spacing w:after="40"/>
        <w:jc w:val="center"/>
      </w:pPr>
      <w:r>
        <w:rPr>
          <w:rFonts w:ascii="Calibri" w:cs="Calibri" w:eastAsia="Calibri" w:hAnsi="Calibri"/>
          <w:sz w:val="22"/>
          <w:szCs w:val="22"/>
        </w:rPr>
        <w:t xml:space="preserve">Workforce Development Agencies</w:t>
      </w:r>
    </w:p>
    <w:p>
      <w:pPr>
        <w:spacing w:after="480"/>
        <w:jc w:val="center"/>
      </w:pPr>
      <w:r>
        <w:rPr>
          <w:rFonts w:ascii="Calibri" w:cs="Calibri" w:eastAsia="Calibri" w:hAnsi="Calibri"/>
          <w:sz w:val="22"/>
          <w:szCs w:val="22"/>
        </w:rPr>
        <w:t xml:space="preserve">Employer &amp; Community Partners</w:t>
      </w:r>
    </w:p>
    <w:p>
      <w:pPr>
        <w:pBdr>
          <w:bottom w:val="single" w:color="1a3a6b" w:sz="8"/>
        </w:pBdr>
        <w:spacing w:before="60" w:after="60"/>
      </w:pPr>
    </w:p>
    <w:p>
      <w:pPr>
        <w:spacing w:before="240"/>
      </w:pPr>
    </w:p>
    <w:p>
      <w:pPr>
        <w:jc w:val="center"/>
      </w:pPr>
      <w:r>
        <w:rPr>
          <w:rFonts w:ascii="Calibri" w:cs="Calibri" w:eastAsia="Calibri" w:hAnsi="Calibri"/>
          <w:color w:val="777777"/>
          <w:sz w:val="20"/>
          <w:szCs w:val="20"/>
        </w:rPr>
        <w:t xml:space="preserve">www.elevateforhumanity.org  |  (317) 314-3757  |  Elevate4humanityedu@gmail.com</w:t>
      </w:r>
    </w:p>
    <w:p>
      <w:r>
        <w:br w:type="page"/>
      </w:r>
    </w:p>
    <w:p>
      <w:pPr>
        <w:sectPr>
          <w:pgSz w:w="11906" w:h="16838" w:orient="portrait"/>
          <w:pgMar w:top="1440" w:right="1440" w:bottom="1440" w:left="1440" w:header="708" w:footer="708" w:gutter="0"/>
          <w:pgNumType/>
          <w:docGrid w:linePitch="360"/>
        </w:sectPr>
      </w:pPr>
    </w:p>
    <w:p>
      <w:pPr>
        <w:pBdr>
          <w:bottom w:val="single" w:color="1a3a6b" w:sz="4"/>
        </w:pBdr>
        <w:spacing w:before="280" w:after="100"/>
      </w:pPr>
      <w:r>
        <w:rPr>
          <w:rFonts w:ascii="Calibri" w:cs="Calibri" w:eastAsia="Calibri" w:hAnsi="Calibri"/>
          <w:b/>
          <w:bCs/>
          <w:color w:val="1a3a6b"/>
          <w:sz w:val="24"/>
          <w:szCs w:val="24"/>
        </w:rPr>
        <w:t xml:space="preserve">TABLE OF CONTENTS</w:t>
      </w:r>
    </w:p>
    <w:p>
      <w:pPr>
        <w:pBdr>
          <w:bottom w:val="single" w:color="DDDDDD" w:sz="2"/>
        </w:pBdr>
        <w:spacing w:before="80" w:after="80"/>
      </w:pPr>
      <w:r>
        <w:rPr>
          <w:rFonts w:ascii="Calibri" w:cs="Calibri" w:eastAsia="Calibri" w:hAnsi="Calibri"/>
          <w:sz w:val="22"/>
          <w:szCs w:val="22"/>
        </w:rPr>
        <w:t xml:space="preserve">1.   Executive Vision: Aligning With Policy &amp; Opportunity</w:t>
      </w:r>
    </w:p>
    <w:p>
      <w:pPr>
        <w:pBdr>
          <w:bottom w:val="single" w:color="DDDDDD" w:sz="2"/>
        </w:pBdr>
        <w:spacing w:before="80" w:after="80"/>
      </w:pPr>
      <w:r>
        <w:rPr>
          <w:rFonts w:ascii="Calibri" w:cs="Calibri" w:eastAsia="Calibri" w:hAnsi="Calibri"/>
          <w:sz w:val="22"/>
          <w:szCs w:val="22"/>
        </w:rPr>
        <w:t xml:space="preserve">2.   Program Overview &amp; The Need We Address</w:t>
      </w:r>
    </w:p>
    <w:p>
      <w:pPr>
        <w:pBdr>
          <w:bottom w:val="single" w:color="DDDDDD" w:sz="2"/>
        </w:pBdr>
        <w:spacing w:before="80" w:after="80"/>
      </w:pPr>
      <w:r>
        <w:rPr>
          <w:rFonts w:ascii="Calibri" w:cs="Calibri" w:eastAsia="Calibri" w:hAnsi="Calibri"/>
          <w:sz w:val="22"/>
          <w:szCs w:val="22"/>
        </w:rPr>
        <w:t xml:space="preserve">3.   Structured Pathway: Full Implementation Model</w:t>
      </w:r>
    </w:p>
    <w:p>
      <w:pPr>
        <w:pBdr>
          <w:bottom w:val="single" w:color="DDDDDD" w:sz="2"/>
        </w:pBdr>
        <w:spacing w:before="80" w:after="80"/>
      </w:pPr>
      <w:r>
        <w:rPr>
          <w:rFonts w:ascii="Calibri" w:cs="Calibri" w:eastAsia="Calibri" w:hAnsi="Calibri"/>
          <w:sz w:val="22"/>
          <w:szCs w:val="22"/>
        </w:rPr>
        <w:t xml:space="preserve">4.   Outcomes &amp; Performance Metrics</w:t>
      </w:r>
    </w:p>
    <w:p>
      <w:pPr>
        <w:pBdr>
          <w:bottom w:val="single" w:color="DDDDDD" w:sz="2"/>
        </w:pBdr>
        <w:spacing w:before="80" w:after="80"/>
      </w:pPr>
      <w:r>
        <w:rPr>
          <w:rFonts w:ascii="Calibri" w:cs="Calibri" w:eastAsia="Calibri" w:hAnsi="Calibri"/>
          <w:sz w:val="22"/>
          <w:szCs w:val="22"/>
        </w:rPr>
        <w:t xml:space="preserve">5.   Federal Context &amp; Policy Alignment</w:t>
      </w:r>
    </w:p>
    <w:p>
      <w:pPr>
        <w:pBdr>
          <w:bottom w:val="single" w:color="DDDDDD" w:sz="2"/>
        </w:pBdr>
        <w:spacing w:before="80" w:after="80"/>
      </w:pPr>
      <w:r>
        <w:rPr>
          <w:rFonts w:ascii="Calibri" w:cs="Calibri" w:eastAsia="Calibri" w:hAnsi="Calibri"/>
          <w:sz w:val="22"/>
          <w:szCs w:val="22"/>
        </w:rPr>
        <w:t xml:space="preserve">6.   Organizational Alignment &amp; Strategic Positioning</w:t>
      </w:r>
    </w:p>
    <w:p>
      <w:pPr>
        <w:pBdr>
          <w:bottom w:val="single" w:color="DDDDDD" w:sz="2"/>
        </w:pBdr>
        <w:spacing w:before="80" w:after="80"/>
      </w:pPr>
      <w:r>
        <w:rPr>
          <w:rFonts w:ascii="Calibri" w:cs="Calibri" w:eastAsia="Calibri" w:hAnsi="Calibri"/>
          <w:sz w:val="22"/>
          <w:szCs w:val="22"/>
        </w:rPr>
        <w:t xml:space="preserve">7.   Program Impact</w:t>
      </w:r>
    </w:p>
    <w:p>
      <w:pPr>
        <w:pBdr>
          <w:bottom w:val="single" w:color="DDDDDD" w:sz="2"/>
        </w:pBdr>
        <w:spacing w:before="80" w:after="80"/>
      </w:pPr>
      <w:r>
        <w:rPr>
          <w:rFonts w:ascii="Calibri" w:cs="Calibri" w:eastAsia="Calibri" w:hAnsi="Calibri"/>
          <w:sz w:val="22"/>
          <w:szCs w:val="22"/>
        </w:rPr>
        <w:t xml:space="preserve">8.   Next Steps: Partnership Discussion</w:t>
      </w:r>
    </w:p>
    <w:p>
      <w:pPr>
        <w:pBdr>
          <w:bottom w:val="single" w:color="DDDDDD" w:sz="2"/>
        </w:pBdr>
        <w:spacing w:before="80" w:after="80"/>
      </w:pPr>
      <w:r>
        <w:rPr>
          <w:rFonts w:ascii="Calibri" w:cs="Calibri" w:eastAsia="Calibri" w:hAnsi="Calibri"/>
          <w:sz w:val="22"/>
          <w:szCs w:val="22"/>
        </w:rPr>
        <w:t xml:space="preserve">9.   Contact Information</w:t>
      </w:r>
    </w:p>
    <w:p>
      <w:r>
        <w:br w:type="page"/>
      </w:r>
    </w:p>
    <w:p>
      <w:pPr>
        <w:pBdr>
          <w:bottom w:val="single" w:color="1a3a6b" w:sz="4"/>
        </w:pBdr>
        <w:spacing w:before="280" w:after="100"/>
      </w:pPr>
      <w:r>
        <w:rPr>
          <w:rFonts w:ascii="Calibri" w:cs="Calibri" w:eastAsia="Calibri" w:hAnsi="Calibri"/>
          <w:b/>
          <w:bCs/>
          <w:color w:val="1a3a6b"/>
          <w:sz w:val="24"/>
          <w:szCs w:val="24"/>
        </w:rPr>
        <w:t xml:space="preserve">1. EXECUTIVE VISION: ALIGNING WITH POLICY &amp; OPPORTUNITY</w:t>
      </w:r>
    </w:p>
    <w:p>
      <w:pPr>
        <w:spacing w:before="80" w:after="80"/>
        <w:jc w:val="both"/>
      </w:pPr>
      <w:r>
        <w:rPr>
          <w:rFonts w:ascii="Calibri" w:cs="Calibri" w:eastAsia="Calibri" w:hAnsi="Calibri"/>
          <w:color w:val="111111"/>
          <w:sz w:val="22"/>
          <w:szCs w:val="22"/>
        </w:rPr>
        <w:t xml:space="preserve">Across the country, there is renewed national focus on expanding workforce participation and increasing access to practical, skills-based training for low-income individuals. Recent federal policy direction, including the One Big Beautiful Bill Act, reflects a broader commitment to strengthening workforce engagement and ensuring individuals receiving public support have structured pathways into employment.</w:t>
      </w:r>
    </w:p>
    <w:p>
      <w:pPr>
        <w:spacing w:before="80" w:after="80"/>
        <w:jc w:val="both"/>
      </w:pPr>
      <w:r>
        <w:rPr>
          <w:rFonts w:ascii="Calibri" w:cs="Calibri" w:eastAsia="Calibri" w:hAnsi="Calibri"/>
          <w:color w:val="111111"/>
          <w:sz w:val="22"/>
          <w:szCs w:val="22"/>
        </w:rPr>
        <w:t xml:space="preserve">Elevate for Humanity was built in direct response to this need. Our mission is to create intentional, structured career pathways that move individuals from instability to sustainability. We design measurable training-to-employment pipelines that result in:</w:t>
      </w:r>
    </w:p>
    <w:p>
      <w:pPr>
        <w:pStyle w:val="ListParagraph"/>
        <w:numPr>
          <w:ilvl w:val="0"/>
          <w:numId w:val="1"/>
        </w:numPr>
        <w:spacing w:before="40" w:after="40"/>
      </w:pPr>
      <w:r>
        <w:rPr>
          <w:rFonts w:ascii="Calibri" w:cs="Calibri" w:eastAsia="Calibri" w:hAnsi="Calibri"/>
          <w:b w:val="false"/>
          <w:bCs w:val="false"/>
          <w:sz w:val="22"/>
          <w:szCs w:val="22"/>
        </w:rPr>
        <w:t xml:space="preserve">Credential attainment</w:t>
      </w:r>
    </w:p>
    <w:p>
      <w:pPr>
        <w:pStyle w:val="ListParagraph"/>
        <w:numPr>
          <w:ilvl w:val="0"/>
          <w:numId w:val="1"/>
        </w:numPr>
        <w:spacing w:before="40" w:after="40"/>
      </w:pPr>
      <w:r>
        <w:rPr>
          <w:rFonts w:ascii="Calibri" w:cs="Calibri" w:eastAsia="Calibri" w:hAnsi="Calibri"/>
          <w:b w:val="false"/>
          <w:bCs w:val="false"/>
          <w:sz w:val="22"/>
          <w:szCs w:val="22"/>
        </w:rPr>
        <w:t xml:space="preserve">Paid On-the-Job Training (OJT)</w:t>
      </w:r>
    </w:p>
    <w:p>
      <w:pPr>
        <w:pStyle w:val="ListParagraph"/>
        <w:numPr>
          <w:ilvl w:val="0"/>
          <w:numId w:val="1"/>
        </w:numPr>
        <w:spacing w:before="40" w:after="40"/>
      </w:pPr>
      <w:r>
        <w:rPr>
          <w:rFonts w:ascii="Calibri" w:cs="Calibri" w:eastAsia="Calibri" w:hAnsi="Calibri"/>
          <w:b w:val="false"/>
          <w:bCs w:val="false"/>
          <w:sz w:val="22"/>
          <w:szCs w:val="22"/>
        </w:rPr>
        <w:t xml:space="preserve">Employment placement</w:t>
      </w:r>
    </w:p>
    <w:p>
      <w:pPr>
        <w:pStyle w:val="ListParagraph"/>
        <w:numPr>
          <w:ilvl w:val="0"/>
          <w:numId w:val="1"/>
        </w:numPr>
        <w:spacing w:before="40" w:after="40"/>
      </w:pPr>
      <w:r>
        <w:rPr>
          <w:rFonts w:ascii="Calibri" w:cs="Calibri" w:eastAsia="Calibri" w:hAnsi="Calibri"/>
          <w:b w:val="false"/>
          <w:bCs w:val="false"/>
          <w:sz w:val="22"/>
          <w:szCs w:val="22"/>
        </w:rPr>
        <w:t xml:space="preserve">Wage progression</w:t>
      </w:r>
    </w:p>
    <w:p>
      <w:pPr>
        <w:pStyle w:val="ListParagraph"/>
        <w:numPr>
          <w:ilvl w:val="0"/>
          <w:numId w:val="1"/>
        </w:numPr>
        <w:spacing w:before="40" w:after="40"/>
      </w:pPr>
      <w:r>
        <w:rPr>
          <w:rFonts w:ascii="Calibri" w:cs="Calibri" w:eastAsia="Calibri" w:hAnsi="Calibri"/>
          <w:b w:val="false"/>
          <w:bCs w:val="false"/>
          <w:sz w:val="22"/>
          <w:szCs w:val="22"/>
        </w:rPr>
        <w:t xml:space="preserve">Long-term economic mobility leading toward housing stability and homeownership readiness</w:t>
      </w:r>
    </w:p>
    <w:p>
      <w:pPr>
        <w:pBdr>
          <w:bottom w:val="single" w:color="1a3a6b" w:sz="4"/>
        </w:pBdr>
        <w:spacing w:before="280" w:after="100"/>
      </w:pPr>
      <w:r>
        <w:rPr>
          <w:rFonts w:ascii="Calibri" w:cs="Calibri" w:eastAsia="Calibri" w:hAnsi="Calibri"/>
          <w:b/>
          <w:bCs/>
          <w:color w:val="1a3a6b"/>
          <w:sz w:val="24"/>
          <w:szCs w:val="24"/>
        </w:rPr>
        <w:t xml:space="preserve">2. PROGRAM OVERVIEW &amp; THE NEED WE ADDRESS</w:t>
      </w:r>
    </w:p>
    <w:p>
      <w:pPr>
        <w:spacing w:before="80" w:after="80"/>
        <w:jc w:val="both"/>
      </w:pPr>
      <w:r>
        <w:rPr>
          <w:rFonts w:ascii="Calibri" w:cs="Calibri" w:eastAsia="Calibri" w:hAnsi="Calibri"/>
          <w:color w:val="111111"/>
          <w:sz w:val="22"/>
          <w:szCs w:val="22"/>
        </w:rPr>
        <w:t xml:space="preserve">Many residents face systemic barriers to employment including limited access to credentialed training, transportation challenges, financial constraints, and lack of employer connections. At the same time, regional industries — including healthcare, skilled trades, and technology — continue to experience workforce shortages. Elevate bridges this gap by aligning training directly with employer demand.</w:t>
      </w:r>
    </w:p>
    <w:p>
      <w:pPr>
        <w:spacing w:before="80" w:after="80"/>
        <w:jc w:val="both"/>
      </w:pPr>
      <w:r>
        <w:rPr>
          <w:rFonts w:ascii="Calibri" w:cs="Calibri" w:eastAsia="Calibri" w:hAnsi="Calibri"/>
          <w:color w:val="111111"/>
          <w:sz w:val="22"/>
          <w:szCs w:val="22"/>
        </w:rPr>
        <w:t xml:space="preserve">Our programs are:</w:t>
      </w:r>
    </w:p>
    <w:p>
      <w:pPr>
        <w:pStyle w:val="ListParagraph"/>
        <w:numPr>
          <w:ilvl w:val="0"/>
          <w:numId w:val="1"/>
        </w:numPr>
        <w:spacing w:before="40" w:after="40"/>
      </w:pPr>
      <w:r>
        <w:rPr>
          <w:rFonts w:ascii="Calibri" w:cs="Calibri" w:eastAsia="Calibri" w:hAnsi="Calibri"/>
          <w:b/>
          <w:bCs/>
          <w:sz w:val="22"/>
          <w:szCs w:val="22"/>
        </w:rPr>
        <w:t xml:space="preserve">Competency-based</w:t>
      </w:r>
    </w:p>
    <w:p>
      <w:pPr>
        <w:pStyle w:val="ListParagraph"/>
        <w:numPr>
          <w:ilvl w:val="0"/>
          <w:numId w:val="1"/>
        </w:numPr>
        <w:spacing w:before="40" w:after="40"/>
      </w:pPr>
      <w:r>
        <w:rPr>
          <w:rFonts w:ascii="Calibri" w:cs="Calibri" w:eastAsia="Calibri" w:hAnsi="Calibri"/>
          <w:b/>
          <w:bCs/>
          <w:sz w:val="22"/>
          <w:szCs w:val="22"/>
        </w:rPr>
        <w:t xml:space="preserve">Credential-focused</w:t>
      </w:r>
    </w:p>
    <w:p>
      <w:pPr>
        <w:pStyle w:val="ListParagraph"/>
        <w:numPr>
          <w:ilvl w:val="0"/>
          <w:numId w:val="1"/>
        </w:numPr>
        <w:spacing w:before="40" w:after="40"/>
      </w:pPr>
      <w:r>
        <w:rPr>
          <w:rFonts w:ascii="Calibri" w:cs="Calibri" w:eastAsia="Calibri" w:hAnsi="Calibri"/>
          <w:b/>
          <w:bCs/>
          <w:sz w:val="22"/>
          <w:szCs w:val="22"/>
        </w:rPr>
        <w:t xml:space="preserve">Structured to transition participants directly into paid OJT placements and employment opportunities</w:t>
      </w:r>
    </w:p>
    <w:p>
      <w:r>
        <w:br w:type="page"/>
      </w:r>
    </w:p>
    <w:p>
      <w:pPr>
        <w:pBdr>
          <w:bottom w:val="single" w:color="1a3a6b" w:sz="4"/>
        </w:pBdr>
        <w:spacing w:before="280" w:after="100"/>
      </w:pPr>
      <w:r>
        <w:rPr>
          <w:rFonts w:ascii="Calibri" w:cs="Calibri" w:eastAsia="Calibri" w:hAnsi="Calibri"/>
          <w:b/>
          <w:bCs/>
          <w:color w:val="1a3a6b"/>
          <w:sz w:val="24"/>
          <w:szCs w:val="24"/>
        </w:rPr>
        <w:t xml:space="preserve">3. STRUCTURED PATHWAY: FULL IMPLEMENTATION MODEL</w:t>
      </w:r>
    </w:p>
    <w:p>
      <w:pPr>
        <w:pBdr>
          <w:top w:val="single" w:color="1a3a6b" w:sz="6"/>
          <w:bottom w:val="single" w:color="1a3a6b" w:sz="6"/>
        </w:pBdr>
        <w:spacing w:before="160" w:after="160"/>
        <w:jc w:val="center"/>
      </w:pPr>
      <w:r>
        <w:rPr>
          <w:rFonts w:ascii="Calibri" w:cs="Calibri" w:eastAsia="Calibri" w:hAnsi="Calibri"/>
          <w:b/>
          <w:bCs/>
          <w:color w:val="1a3a6b"/>
          <w:sz w:val="22"/>
          <w:szCs w:val="22"/>
        </w:rPr>
        <w:t xml:space="preserve">Workforce Training  →  Paid Employment  →  Wage Growth  →  Housing Stability  →  Homeownership Readiness</w:t>
      </w:r>
    </w:p>
    <w:p>
      <w:pPr>
        <w:spacing w:before="80" w:after="80"/>
        <w:jc w:val="both"/>
      </w:pPr>
      <w:r>
        <w:rPr>
          <w:rFonts w:ascii="Calibri" w:cs="Calibri" w:eastAsia="Calibri" w:hAnsi="Calibri"/>
          <w:color w:val="111111"/>
          <w:sz w:val="22"/>
          <w:szCs w:val="22"/>
        </w:rPr>
        <w:t xml:space="preserve">Participants do not simply enroll in classes. They enter a defined progression model that includes structured preparation, industry-aligned training, paid workforce engagement, and transition toward financial independence.</w:t>
      </w:r>
    </w:p>
    <w:p>
      <w:pPr>
        <w:spacing w:before="80"/>
      </w:pPr>
    </w:p>
    <w:p>
      <w:pPr>
        <w:pBdr>
          <w:left w:val="single" w:color="1a3a6b" w:sz="18"/>
        </w:pBdr>
        <w:spacing w:before="160" w:after="60"/>
        <w:ind w:left="200"/>
      </w:pPr>
      <w:r>
        <w:rPr>
          <w:rFonts w:ascii="Calibri" w:cs="Calibri" w:eastAsia="Calibri" w:hAnsi="Calibri"/>
          <w:b/>
          <w:bCs/>
          <w:color w:val="1a3a6b"/>
          <w:sz w:val="22"/>
          <w:szCs w:val="22"/>
        </w:rPr>
        <w:t xml:space="preserve">Stage 1 — Resident Identification &amp; Intake</w:t>
      </w:r>
    </w:p>
    <w:p>
      <w:pPr>
        <w:pStyle w:val="ListParagraph"/>
        <w:numPr>
          <w:ilvl w:val="0"/>
          <w:numId w:val="1"/>
        </w:numPr>
        <w:spacing w:before="30" w:after="30"/>
        <w:ind w:left="400"/>
      </w:pPr>
      <w:r>
        <w:rPr>
          <w:rFonts w:ascii="Calibri" w:cs="Calibri" w:eastAsia="Calibri" w:hAnsi="Calibri"/>
          <w:sz w:val="22"/>
          <w:szCs w:val="22"/>
        </w:rPr>
        <w:t xml:space="preserve">Work readiness evaluation</w:t>
      </w:r>
    </w:p>
    <w:p>
      <w:pPr>
        <w:pStyle w:val="ListParagraph"/>
        <w:numPr>
          <w:ilvl w:val="0"/>
          <w:numId w:val="1"/>
        </w:numPr>
        <w:spacing w:before="30" w:after="30"/>
        <w:ind w:left="400"/>
      </w:pPr>
      <w:r>
        <w:rPr>
          <w:rFonts w:ascii="Calibri" w:cs="Calibri" w:eastAsia="Calibri" w:hAnsi="Calibri"/>
          <w:sz w:val="22"/>
          <w:szCs w:val="22"/>
        </w:rPr>
        <w:t xml:space="preserve">Career interest mapping</w:t>
      </w:r>
    </w:p>
    <w:p>
      <w:pPr>
        <w:pStyle w:val="ListParagraph"/>
        <w:numPr>
          <w:ilvl w:val="0"/>
          <w:numId w:val="1"/>
        </w:numPr>
        <w:spacing w:before="30" w:after="30"/>
        <w:ind w:left="400"/>
      </w:pPr>
      <w:r>
        <w:rPr>
          <w:rFonts w:ascii="Calibri" w:cs="Calibri" w:eastAsia="Calibri" w:hAnsi="Calibri"/>
          <w:sz w:val="22"/>
          <w:szCs w:val="22"/>
        </w:rPr>
        <w:t xml:space="preserve">Barrier assessment</w:t>
      </w:r>
    </w:p>
    <w:p>
      <w:pPr>
        <w:pStyle w:val="ListParagraph"/>
        <w:numPr>
          <w:ilvl w:val="0"/>
          <w:numId w:val="1"/>
        </w:numPr>
        <w:spacing w:before="30" w:after="30"/>
        <w:ind w:left="400"/>
      </w:pPr>
      <w:r>
        <w:rPr>
          <w:rFonts w:ascii="Calibri" w:cs="Calibri" w:eastAsia="Calibri" w:hAnsi="Calibri"/>
          <w:sz w:val="22"/>
          <w:szCs w:val="22"/>
        </w:rPr>
        <w:t xml:space="preserve">Development of an Individual Workforce Plan</w:t>
      </w:r>
    </w:p>
    <w:p>
      <w:pPr>
        <w:pBdr>
          <w:left w:val="single" w:color="1a3a6b" w:sz="18"/>
        </w:pBdr>
        <w:spacing w:before="160" w:after="60"/>
        <w:ind w:left="200"/>
      </w:pPr>
      <w:r>
        <w:rPr>
          <w:rFonts w:ascii="Calibri" w:cs="Calibri" w:eastAsia="Calibri" w:hAnsi="Calibri"/>
          <w:b/>
          <w:bCs/>
          <w:color w:val="1a3a6b"/>
          <w:sz w:val="22"/>
          <w:szCs w:val="22"/>
        </w:rPr>
        <w:t xml:space="preserve">Stage 2 — Workforce Preparation</w:t>
      </w:r>
    </w:p>
    <w:p>
      <w:pPr>
        <w:pStyle w:val="ListParagraph"/>
        <w:numPr>
          <w:ilvl w:val="0"/>
          <w:numId w:val="1"/>
        </w:numPr>
        <w:spacing w:before="30" w:after="30"/>
        <w:ind w:left="400"/>
      </w:pPr>
      <w:r>
        <w:rPr>
          <w:rFonts w:ascii="Calibri" w:cs="Calibri" w:eastAsia="Calibri" w:hAnsi="Calibri"/>
          <w:sz w:val="22"/>
          <w:szCs w:val="22"/>
        </w:rPr>
        <w:t xml:space="preserve">Professional communication training</w:t>
      </w:r>
    </w:p>
    <w:p>
      <w:pPr>
        <w:pStyle w:val="ListParagraph"/>
        <w:numPr>
          <w:ilvl w:val="0"/>
          <w:numId w:val="1"/>
        </w:numPr>
        <w:spacing w:before="30" w:after="30"/>
        <w:ind w:left="400"/>
      </w:pPr>
      <w:r>
        <w:rPr>
          <w:rFonts w:ascii="Calibri" w:cs="Calibri" w:eastAsia="Calibri" w:hAnsi="Calibri"/>
          <w:sz w:val="22"/>
          <w:szCs w:val="22"/>
        </w:rPr>
        <w:t xml:space="preserve">Attendance and accountability standards</w:t>
      </w:r>
    </w:p>
    <w:p>
      <w:pPr>
        <w:pStyle w:val="ListParagraph"/>
        <w:numPr>
          <w:ilvl w:val="0"/>
          <w:numId w:val="1"/>
        </w:numPr>
        <w:spacing w:before="30" w:after="30"/>
        <w:ind w:left="400"/>
      </w:pPr>
      <w:r>
        <w:rPr>
          <w:rFonts w:ascii="Calibri" w:cs="Calibri" w:eastAsia="Calibri" w:hAnsi="Calibri"/>
          <w:sz w:val="22"/>
          <w:szCs w:val="22"/>
        </w:rPr>
        <w:t xml:space="preserve">Workplace expectations</w:t>
      </w:r>
    </w:p>
    <w:p>
      <w:pPr>
        <w:pStyle w:val="ListParagraph"/>
        <w:numPr>
          <w:ilvl w:val="0"/>
          <w:numId w:val="1"/>
        </w:numPr>
        <w:spacing w:before="30" w:after="30"/>
        <w:ind w:left="400"/>
      </w:pPr>
      <w:r>
        <w:rPr>
          <w:rFonts w:ascii="Calibri" w:cs="Calibri" w:eastAsia="Calibri" w:hAnsi="Calibri"/>
          <w:sz w:val="22"/>
          <w:szCs w:val="22"/>
        </w:rPr>
        <w:t xml:space="preserve">Financial literacy planning</w:t>
      </w:r>
    </w:p>
    <w:p>
      <w:pPr>
        <w:pStyle w:val="ListParagraph"/>
        <w:numPr>
          <w:ilvl w:val="0"/>
          <w:numId w:val="1"/>
        </w:numPr>
        <w:spacing w:before="30" w:after="30"/>
        <w:ind w:left="400"/>
      </w:pPr>
      <w:r>
        <w:rPr>
          <w:rFonts w:ascii="Calibri" w:cs="Calibri" w:eastAsia="Calibri" w:hAnsi="Calibri"/>
          <w:sz w:val="22"/>
          <w:szCs w:val="22"/>
        </w:rPr>
        <w:t xml:space="preserve">Introduction to the housing-to-homeownership pathway</w:t>
      </w:r>
    </w:p>
    <w:p>
      <w:pPr>
        <w:pBdr>
          <w:left w:val="single" w:color="1a3a6b" w:sz="18"/>
        </w:pBdr>
        <w:spacing w:before="160" w:after="60"/>
        <w:ind w:left="200"/>
      </w:pPr>
      <w:r>
        <w:rPr>
          <w:rFonts w:ascii="Calibri" w:cs="Calibri" w:eastAsia="Calibri" w:hAnsi="Calibri"/>
          <w:b/>
          <w:bCs/>
          <w:color w:val="1a3a6b"/>
          <w:sz w:val="22"/>
          <w:szCs w:val="22"/>
        </w:rPr>
        <w:t xml:space="preserve">Stage 3 — Technical Training &amp; Credentialing</w:t>
      </w:r>
    </w:p>
    <w:p>
      <w:pPr>
        <w:pStyle w:val="ListParagraph"/>
        <w:numPr>
          <w:ilvl w:val="0"/>
          <w:numId w:val="1"/>
        </w:numPr>
        <w:spacing w:before="30" w:after="30"/>
        <w:ind w:left="400"/>
      </w:pPr>
      <w:r>
        <w:rPr>
          <w:rFonts w:ascii="Calibri" w:cs="Calibri" w:eastAsia="Calibri" w:hAnsi="Calibri"/>
          <w:sz w:val="22"/>
          <w:szCs w:val="22"/>
        </w:rPr>
        <w:t xml:space="preserve">Employer-aligned training in Healthcare, Skilled Trades (including HVAC), and Technology/Business Support</w:t>
      </w:r>
    </w:p>
    <w:p>
      <w:pPr>
        <w:pStyle w:val="ListParagraph"/>
        <w:numPr>
          <w:ilvl w:val="0"/>
          <w:numId w:val="1"/>
        </w:numPr>
        <w:spacing w:before="30" w:after="30"/>
        <w:ind w:left="400"/>
      </w:pPr>
      <w:r>
        <w:rPr>
          <w:rFonts w:ascii="Calibri" w:cs="Calibri" w:eastAsia="Calibri" w:hAnsi="Calibri"/>
          <w:sz w:val="22"/>
          <w:szCs w:val="22"/>
        </w:rPr>
        <w:t xml:space="preserve">Approved on Indiana's Eligible Training Provider List (ETPL) through WorkOne</w:t>
      </w:r>
    </w:p>
    <w:p>
      <w:pPr>
        <w:pStyle w:val="ListParagraph"/>
        <w:numPr>
          <w:ilvl w:val="0"/>
          <w:numId w:val="1"/>
        </w:numPr>
        <w:spacing w:before="30" w:after="30"/>
        <w:ind w:left="400"/>
      </w:pPr>
      <w:r>
        <w:rPr>
          <w:rFonts w:ascii="Calibri" w:cs="Calibri" w:eastAsia="Calibri" w:hAnsi="Calibri"/>
          <w:sz w:val="22"/>
          <w:szCs w:val="22"/>
        </w:rPr>
        <w:t xml:space="preserve">Eligible participants access training at no out-of-pocket cost through WIOA and Workforce Ready Grant funding</w:t>
      </w:r>
    </w:p>
    <w:p>
      <w:pPr>
        <w:pStyle w:val="ListParagraph"/>
        <w:numPr>
          <w:ilvl w:val="0"/>
          <w:numId w:val="1"/>
        </w:numPr>
        <w:spacing w:before="30" w:after="30"/>
        <w:ind w:left="400"/>
      </w:pPr>
      <w:r>
        <w:rPr>
          <w:rFonts w:ascii="Calibri" w:cs="Calibri" w:eastAsia="Calibri" w:hAnsi="Calibri"/>
          <w:sz w:val="22"/>
          <w:szCs w:val="22"/>
        </w:rPr>
        <w:t xml:space="preserve">Proctored credential testing integrated within the program structure</w:t>
      </w:r>
    </w:p>
    <w:p>
      <w:pPr>
        <w:pBdr>
          <w:left w:val="single" w:color="1a3a6b" w:sz="18"/>
        </w:pBdr>
        <w:spacing w:before="160" w:after="60"/>
        <w:ind w:left="200"/>
      </w:pPr>
      <w:r>
        <w:rPr>
          <w:rFonts w:ascii="Calibri" w:cs="Calibri" w:eastAsia="Calibri" w:hAnsi="Calibri"/>
          <w:b/>
          <w:bCs/>
          <w:color w:val="1a3a6b"/>
          <w:sz w:val="22"/>
          <w:szCs w:val="22"/>
        </w:rPr>
        <w:t xml:space="preserve">Stage 4 — Employer Alignment &amp; Paid OJT</w:t>
      </w:r>
    </w:p>
    <w:p>
      <w:pPr>
        <w:pStyle w:val="ListParagraph"/>
        <w:numPr>
          <w:ilvl w:val="0"/>
          <w:numId w:val="1"/>
        </w:numPr>
        <w:spacing w:before="30" w:after="30"/>
        <w:ind w:left="400"/>
      </w:pPr>
      <w:r>
        <w:rPr>
          <w:rFonts w:ascii="Calibri" w:cs="Calibri" w:eastAsia="Calibri" w:hAnsi="Calibri"/>
          <w:sz w:val="22"/>
          <w:szCs w:val="22"/>
        </w:rPr>
        <w:t xml:space="preserve">Employer interviews coordinated by Elevate</w:t>
      </w:r>
    </w:p>
    <w:p>
      <w:pPr>
        <w:pStyle w:val="ListParagraph"/>
        <w:numPr>
          <w:ilvl w:val="0"/>
          <w:numId w:val="1"/>
        </w:numPr>
        <w:spacing w:before="30" w:after="30"/>
        <w:ind w:left="400"/>
      </w:pPr>
      <w:r>
        <w:rPr>
          <w:rFonts w:ascii="Calibri" w:cs="Calibri" w:eastAsia="Calibri" w:hAnsi="Calibri"/>
          <w:sz w:val="22"/>
          <w:szCs w:val="22"/>
        </w:rPr>
        <w:t xml:space="preserve">Paid On-the-Job Training placements</w:t>
      </w:r>
    </w:p>
    <w:p>
      <w:pPr>
        <w:pStyle w:val="ListParagraph"/>
        <w:numPr>
          <w:ilvl w:val="0"/>
          <w:numId w:val="1"/>
        </w:numPr>
        <w:spacing w:before="30" w:after="30"/>
        <w:ind w:left="400"/>
      </w:pPr>
      <w:r>
        <w:rPr>
          <w:rFonts w:ascii="Calibri" w:cs="Calibri" w:eastAsia="Calibri" w:hAnsi="Calibri"/>
          <w:sz w:val="22"/>
          <w:szCs w:val="22"/>
        </w:rPr>
        <w:t xml:space="preserve">Direct hire employment pipelines</w:t>
      </w:r>
    </w:p>
    <w:p>
      <w:pPr>
        <w:pStyle w:val="ListParagraph"/>
        <w:numPr>
          <w:ilvl w:val="0"/>
          <w:numId w:val="1"/>
        </w:numPr>
        <w:spacing w:before="30" w:after="30"/>
        <w:ind w:left="400"/>
      </w:pPr>
      <w:r>
        <w:rPr>
          <w:rFonts w:ascii="Calibri" w:cs="Calibri" w:eastAsia="Calibri" w:hAnsi="Calibri"/>
          <w:sz w:val="22"/>
          <w:szCs w:val="22"/>
        </w:rPr>
        <w:t xml:space="preserve">Participants enter the workplace credential-ready — improving retention, safety, and workforce stability</w:t>
      </w:r>
    </w:p>
    <w:p>
      <w:pPr>
        <w:pBdr>
          <w:left w:val="single" w:color="1a3a6b" w:sz="18"/>
        </w:pBdr>
        <w:spacing w:before="160" w:after="60"/>
        <w:ind w:left="200"/>
      </w:pPr>
      <w:r>
        <w:rPr>
          <w:rFonts w:ascii="Calibri" w:cs="Calibri" w:eastAsia="Calibri" w:hAnsi="Calibri"/>
          <w:b/>
          <w:bCs/>
          <w:color w:val="1a3a6b"/>
          <w:sz w:val="22"/>
          <w:szCs w:val="22"/>
        </w:rPr>
        <w:t xml:space="preserve">Stage 5 — Income Stabilization &amp; Housing-to-Homeownership Pathway</w:t>
      </w:r>
    </w:p>
    <w:p>
      <w:pPr>
        <w:pStyle w:val="ListParagraph"/>
        <w:numPr>
          <w:ilvl w:val="0"/>
          <w:numId w:val="1"/>
        </w:numPr>
        <w:spacing w:before="30" w:after="30"/>
        <w:ind w:left="400"/>
      </w:pPr>
      <w:r>
        <w:rPr>
          <w:rFonts w:ascii="Calibri" w:cs="Calibri" w:eastAsia="Calibri" w:hAnsi="Calibri"/>
          <w:sz w:val="22"/>
          <w:szCs w:val="22"/>
        </w:rPr>
        <w:t xml:space="preserve">Wage progression monitoring</w:t>
      </w:r>
    </w:p>
    <w:p>
      <w:pPr>
        <w:pStyle w:val="ListParagraph"/>
        <w:numPr>
          <w:ilvl w:val="0"/>
          <w:numId w:val="1"/>
        </w:numPr>
        <w:spacing w:before="30" w:after="30"/>
        <w:ind w:left="400"/>
      </w:pPr>
      <w:r>
        <w:rPr>
          <w:rFonts w:ascii="Calibri" w:cs="Calibri" w:eastAsia="Calibri" w:hAnsi="Calibri"/>
          <w:sz w:val="22"/>
          <w:szCs w:val="22"/>
        </w:rPr>
        <w:t xml:space="preserve">Financial coaching referrals</w:t>
      </w:r>
    </w:p>
    <w:p>
      <w:pPr>
        <w:pStyle w:val="ListParagraph"/>
        <w:numPr>
          <w:ilvl w:val="0"/>
          <w:numId w:val="1"/>
        </w:numPr>
        <w:spacing w:before="30" w:after="30"/>
        <w:ind w:left="400"/>
      </w:pPr>
      <w:r>
        <w:rPr>
          <w:rFonts w:ascii="Calibri" w:cs="Calibri" w:eastAsia="Calibri" w:hAnsi="Calibri"/>
          <w:sz w:val="22"/>
          <w:szCs w:val="22"/>
        </w:rPr>
        <w:t xml:space="preserve">Credit-building support</w:t>
      </w:r>
    </w:p>
    <w:p>
      <w:pPr>
        <w:pStyle w:val="ListParagraph"/>
        <w:numPr>
          <w:ilvl w:val="0"/>
          <w:numId w:val="1"/>
        </w:numPr>
        <w:spacing w:before="30" w:after="30"/>
        <w:ind w:left="400"/>
      </w:pPr>
      <w:r>
        <w:rPr>
          <w:rFonts w:ascii="Calibri" w:cs="Calibri" w:eastAsia="Calibri" w:hAnsi="Calibri"/>
          <w:sz w:val="22"/>
          <w:szCs w:val="22"/>
        </w:rPr>
        <w:t xml:space="preserve">Savings planning</w:t>
      </w:r>
    </w:p>
    <w:p>
      <w:pPr>
        <w:pStyle w:val="ListParagraph"/>
        <w:numPr>
          <w:ilvl w:val="0"/>
          <w:numId w:val="1"/>
        </w:numPr>
        <w:spacing w:before="30" w:after="30"/>
        <w:ind w:left="400"/>
      </w:pPr>
      <w:r>
        <w:rPr>
          <w:rFonts w:ascii="Calibri" w:cs="Calibri" w:eastAsia="Calibri" w:hAnsi="Calibri"/>
          <w:sz w:val="22"/>
          <w:szCs w:val="22"/>
        </w:rPr>
        <w:t xml:space="preserve">Transition toward homeownership readiness programming</w:t>
      </w:r>
    </w:p>
    <w:p>
      <w:r>
        <w:br w:type="page"/>
      </w:r>
    </w:p>
    <w:p>
      <w:pPr>
        <w:pBdr>
          <w:bottom w:val="single" w:color="1a3a6b" w:sz="4"/>
        </w:pBdr>
        <w:spacing w:before="280" w:after="100"/>
      </w:pPr>
      <w:r>
        <w:rPr>
          <w:rFonts w:ascii="Calibri" w:cs="Calibri" w:eastAsia="Calibri" w:hAnsi="Calibri"/>
          <w:b/>
          <w:bCs/>
          <w:color w:val="1a3a6b"/>
          <w:sz w:val="24"/>
          <w:szCs w:val="24"/>
        </w:rPr>
        <w:t xml:space="preserve">4. OUTCOMES &amp; PERFORMANCE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8%"/>
            <w:shd w:fill="1a3a6b" w:val="clear"/>
            <w:tcMar>
              <w:top w:type="dxa" w:w="80"/>
              <w:left w:type="dxa" w:w="120"/>
              <w:bottom w:type="dxa" w:w="80"/>
              <w:right w:type="dxa" w:w="120"/>
            </w:tcMar>
          </w:tcPr>
          <w:p>
            <w:pPr>
              <w:spacing w:before="60" w:after="60"/>
            </w:pPr>
            <w:r>
              <w:rPr>
                <w:rFonts w:ascii="Calibri" w:cs="Calibri" w:eastAsia="Calibri" w:hAnsi="Calibri"/>
                <w:b/>
                <w:bCs/>
                <w:color w:val="FFFFFF"/>
                <w:sz w:val="22"/>
                <w:szCs w:val="22"/>
              </w:rPr>
              <w:t xml:space="preserve">Performance Indicator</w:t>
            </w:r>
          </w:p>
        </w:tc>
        <w:tc>
          <w:tcPr>
            <w:tcW w:type="pct" w:w="62%"/>
            <w:shd w:fill="1a3a6b" w:val="clear"/>
            <w:tcMar>
              <w:top w:type="dxa" w:w="80"/>
              <w:left w:type="dxa" w:w="120"/>
              <w:bottom w:type="dxa" w:w="80"/>
              <w:right w:type="dxa" w:w="120"/>
            </w:tcMar>
          </w:tcPr>
          <w:p>
            <w:pPr>
              <w:spacing w:before="60" w:after="60"/>
            </w:pPr>
            <w:r>
              <w:rPr>
                <w:rFonts w:ascii="Calibri" w:cs="Calibri" w:eastAsia="Calibri" w:hAnsi="Calibri"/>
                <w:b/>
                <w:bCs/>
                <w:color w:val="FFFFFF"/>
                <w:sz w:val="22"/>
                <w:szCs w:val="22"/>
              </w:rPr>
              <w:t xml:space="preserve">Measurement</w:t>
            </w:r>
          </w:p>
        </w:tc>
      </w:tr>
      <w:tr>
        <w:tc>
          <w:tcPr>
            <w:tcMar>
              <w:top w:type="dxa" w:w="80"/>
              <w:left w:type="dxa" w:w="120"/>
              <w:bottom w:type="dxa" w:w="80"/>
              <w:right w:type="dxa" w:w="120"/>
            </w:tcMar>
          </w:tcPr>
          <w:p>
            <w:pPr>
              <w:spacing w:before="60" w:after="60"/>
            </w:pPr>
            <w:r>
              <w:rPr>
                <w:rFonts w:ascii="Calibri" w:cs="Calibri" w:eastAsia="Calibri" w:hAnsi="Calibri"/>
                <w:b/>
                <w:bCs/>
                <w:sz w:val="22"/>
                <w:szCs w:val="22"/>
              </w:rPr>
              <w:t xml:space="preserve">Credential Attainment</w:t>
            </w:r>
          </w:p>
        </w:tc>
        <w:tc>
          <w:tcPr>
            <w:tcMar>
              <w:top w:type="dxa" w:w="80"/>
              <w:left w:type="dxa" w:w="120"/>
              <w:bottom w:type="dxa" w:w="80"/>
              <w:right w:type="dxa" w:w="120"/>
            </w:tcMar>
          </w:tcPr>
          <w:p>
            <w:pPr>
              <w:spacing w:before="60" w:after="60"/>
            </w:pPr>
            <w:r>
              <w:rPr>
                <w:rFonts w:ascii="Calibri" w:cs="Calibri" w:eastAsia="Calibri" w:hAnsi="Calibri"/>
                <w:sz w:val="22"/>
                <w:szCs w:val="22"/>
              </w:rPr>
              <w:t xml:space="preserve">Completing industry-recognized certification</w:t>
            </w:r>
          </w:p>
        </w:tc>
      </w:tr>
      <w:tr>
        <w:tc>
          <w:tcPr>
            <w:tcMar>
              <w:top w:type="dxa" w:w="80"/>
              <w:left w:type="dxa" w:w="120"/>
              <w:bottom w:type="dxa" w:w="80"/>
              <w:right w:type="dxa" w:w="120"/>
            </w:tcMar>
          </w:tcPr>
          <w:p>
            <w:pPr>
              <w:spacing w:before="60" w:after="60"/>
            </w:pPr>
            <w:r>
              <w:rPr>
                <w:rFonts w:ascii="Calibri" w:cs="Calibri" w:eastAsia="Calibri" w:hAnsi="Calibri"/>
                <w:b/>
                <w:bCs/>
                <w:sz w:val="22"/>
                <w:szCs w:val="22"/>
              </w:rPr>
              <w:t xml:space="preserve">OJT Placement Rate</w:t>
            </w:r>
          </w:p>
        </w:tc>
        <w:tc>
          <w:tcPr>
            <w:tcMar>
              <w:top w:type="dxa" w:w="80"/>
              <w:left w:type="dxa" w:w="120"/>
              <w:bottom w:type="dxa" w:w="80"/>
              <w:right w:type="dxa" w:w="120"/>
            </w:tcMar>
          </w:tcPr>
          <w:p>
            <w:pPr>
              <w:spacing w:before="60" w:after="60"/>
            </w:pPr>
            <w:r>
              <w:rPr>
                <w:rFonts w:ascii="Calibri" w:cs="Calibri" w:eastAsia="Calibri" w:hAnsi="Calibri"/>
                <w:sz w:val="22"/>
                <w:szCs w:val="22"/>
              </w:rPr>
              <w:t xml:space="preserve">Placed in paid On-the-Job Training</w:t>
            </w:r>
          </w:p>
        </w:tc>
      </w:tr>
      <w:tr>
        <w:tc>
          <w:tcPr>
            <w:tcMar>
              <w:top w:type="dxa" w:w="80"/>
              <w:left w:type="dxa" w:w="120"/>
              <w:bottom w:type="dxa" w:w="80"/>
              <w:right w:type="dxa" w:w="120"/>
            </w:tcMar>
          </w:tcPr>
          <w:p>
            <w:pPr>
              <w:spacing w:before="60" w:after="60"/>
            </w:pPr>
            <w:r>
              <w:rPr>
                <w:rFonts w:ascii="Calibri" w:cs="Calibri" w:eastAsia="Calibri" w:hAnsi="Calibri"/>
                <w:b/>
                <w:bCs/>
                <w:sz w:val="22"/>
                <w:szCs w:val="22"/>
              </w:rPr>
              <w:t xml:space="preserve">Employment Placement Rate</w:t>
            </w:r>
          </w:p>
        </w:tc>
        <w:tc>
          <w:tcPr>
            <w:tcMar>
              <w:top w:type="dxa" w:w="80"/>
              <w:left w:type="dxa" w:w="120"/>
              <w:bottom w:type="dxa" w:w="80"/>
              <w:right w:type="dxa" w:w="120"/>
            </w:tcMar>
          </w:tcPr>
          <w:p>
            <w:pPr>
              <w:spacing w:before="60" w:after="60"/>
            </w:pPr>
            <w:r>
              <w:rPr>
                <w:rFonts w:ascii="Calibri" w:cs="Calibri" w:eastAsia="Calibri" w:hAnsi="Calibri"/>
                <w:sz w:val="22"/>
                <w:szCs w:val="22"/>
              </w:rPr>
              <w:t xml:space="preserve">Securing employment aligned with training pathway</w:t>
            </w:r>
          </w:p>
        </w:tc>
      </w:tr>
      <w:tr>
        <w:tc>
          <w:tcPr>
            <w:tcMar>
              <w:top w:type="dxa" w:w="80"/>
              <w:left w:type="dxa" w:w="120"/>
              <w:bottom w:type="dxa" w:w="80"/>
              <w:right w:type="dxa" w:w="120"/>
            </w:tcMar>
          </w:tcPr>
          <w:p>
            <w:pPr>
              <w:spacing w:before="60" w:after="60"/>
            </w:pPr>
            <w:r>
              <w:rPr>
                <w:rFonts w:ascii="Calibri" w:cs="Calibri" w:eastAsia="Calibri" w:hAnsi="Calibri"/>
                <w:b/>
                <w:bCs/>
                <w:sz w:val="22"/>
                <w:szCs w:val="22"/>
              </w:rPr>
              <w:t xml:space="preserve">90-Day Retention</w:t>
            </w:r>
          </w:p>
        </w:tc>
        <w:tc>
          <w:tcPr>
            <w:tcMar>
              <w:top w:type="dxa" w:w="80"/>
              <w:left w:type="dxa" w:w="120"/>
              <w:bottom w:type="dxa" w:w="80"/>
              <w:right w:type="dxa" w:w="120"/>
            </w:tcMar>
          </w:tcPr>
          <w:p>
            <w:pPr>
              <w:spacing w:before="60" w:after="60"/>
            </w:pPr>
            <w:r>
              <w:rPr>
                <w:rFonts w:ascii="Calibri" w:cs="Calibri" w:eastAsia="Calibri" w:hAnsi="Calibri"/>
                <w:sz w:val="22"/>
                <w:szCs w:val="22"/>
              </w:rPr>
              <w:t xml:space="preserve">Employment stability at 30, 60, and 90 days post-placement</w:t>
            </w:r>
          </w:p>
        </w:tc>
      </w:tr>
      <w:tr>
        <w:tc>
          <w:tcPr>
            <w:tcMar>
              <w:top w:type="dxa" w:w="80"/>
              <w:left w:type="dxa" w:w="120"/>
              <w:bottom w:type="dxa" w:w="80"/>
              <w:right w:type="dxa" w:w="120"/>
            </w:tcMar>
          </w:tcPr>
          <w:p>
            <w:pPr>
              <w:spacing w:before="60" w:after="60"/>
            </w:pPr>
            <w:r>
              <w:rPr>
                <w:rFonts w:ascii="Calibri" w:cs="Calibri" w:eastAsia="Calibri" w:hAnsi="Calibri"/>
                <w:b/>
                <w:bCs/>
                <w:sz w:val="22"/>
                <w:szCs w:val="22"/>
              </w:rPr>
              <w:t xml:space="preserve">Wage Progression</w:t>
            </w:r>
          </w:p>
        </w:tc>
        <w:tc>
          <w:tcPr>
            <w:tcMar>
              <w:top w:type="dxa" w:w="80"/>
              <w:left w:type="dxa" w:w="120"/>
              <w:bottom w:type="dxa" w:w="80"/>
              <w:right w:type="dxa" w:w="120"/>
            </w:tcMar>
          </w:tcPr>
          <w:p>
            <w:pPr>
              <w:spacing w:before="60" w:after="60"/>
            </w:pPr>
            <w:r>
              <w:rPr>
                <w:rFonts w:ascii="Calibri" w:cs="Calibri" w:eastAsia="Calibri" w:hAnsi="Calibri"/>
                <w:sz w:val="22"/>
                <w:szCs w:val="22"/>
              </w:rPr>
              <w:t xml:space="preserve">Starting wages and documented wage growth within first 90 days</w:t>
            </w:r>
          </w:p>
        </w:tc>
      </w:tr>
      <w:tr>
        <w:tc>
          <w:tcPr>
            <w:tcMar>
              <w:top w:type="dxa" w:w="80"/>
              <w:left w:type="dxa" w:w="120"/>
              <w:bottom w:type="dxa" w:w="80"/>
              <w:right w:type="dxa" w:w="120"/>
            </w:tcMar>
          </w:tcPr>
          <w:p>
            <w:pPr>
              <w:spacing w:before="60" w:after="60"/>
            </w:pPr>
            <w:r>
              <w:rPr>
                <w:rFonts w:ascii="Calibri" w:cs="Calibri" w:eastAsia="Calibri" w:hAnsi="Calibri"/>
                <w:b/>
                <w:bCs/>
                <w:sz w:val="22"/>
                <w:szCs w:val="22"/>
              </w:rPr>
              <w:t xml:space="preserve">Housing Stability Advancement</w:t>
            </w:r>
          </w:p>
        </w:tc>
        <w:tc>
          <w:tcPr>
            <w:tcMar>
              <w:top w:type="dxa" w:w="80"/>
              <w:left w:type="dxa" w:w="120"/>
              <w:bottom w:type="dxa" w:w="80"/>
              <w:right w:type="dxa" w:w="120"/>
            </w:tcMar>
          </w:tcPr>
          <w:p>
            <w:pPr>
              <w:spacing w:before="60" w:after="60"/>
            </w:pPr>
            <w:r>
              <w:rPr>
                <w:rFonts w:ascii="Calibri" w:cs="Calibri" w:eastAsia="Calibri" w:hAnsi="Calibri"/>
                <w:sz w:val="22"/>
                <w:szCs w:val="22"/>
              </w:rPr>
              <w:t xml:space="preserve">Progress toward financial stabilization and homeownership readiness</w:t>
            </w:r>
          </w:p>
        </w:tc>
      </w:tr>
    </w:tbl>
    <w:p>
      <w:pPr>
        <w:spacing w:before="120"/>
      </w:pPr>
    </w:p>
    <w:p>
      <w:pPr>
        <w:pBdr>
          <w:bottom w:val="single" w:color="1a3a6b" w:sz="4"/>
        </w:pBdr>
        <w:spacing w:before="280" w:after="100"/>
      </w:pPr>
      <w:r>
        <w:rPr>
          <w:rFonts w:ascii="Calibri" w:cs="Calibri" w:eastAsia="Calibri" w:hAnsi="Calibri"/>
          <w:b/>
          <w:bCs/>
          <w:color w:val="1a3a6b"/>
          <w:sz w:val="24"/>
          <w:szCs w:val="24"/>
        </w:rPr>
        <w:t xml:space="preserve">5. FEDERAL CONTEXT &amp; POLICY ALIGNMENT</w:t>
      </w:r>
    </w:p>
    <w:p>
      <w:pPr>
        <w:spacing w:before="80" w:after="80"/>
        <w:jc w:val="both"/>
      </w:pPr>
      <w:r>
        <w:rPr>
          <w:rFonts w:ascii="Calibri" w:cs="Calibri" w:eastAsia="Calibri" w:hAnsi="Calibri"/>
          <w:color w:val="111111"/>
          <w:sz w:val="22"/>
          <w:szCs w:val="22"/>
        </w:rPr>
        <w:t xml:space="preserve">In alignment with national policy trends, including the One Big Beautiful Bill Act, Elevate supports expanded access to workforce training and structured employment pathways that build long-term earning capacity and housing independence. Elevate operationalizes these priorities through structured, outcome-driven implementation — not philosophical alignment alone.</w:t>
      </w:r>
    </w:p>
    <w:p>
      <w:r>
        <w:br w:type="page"/>
      </w:r>
    </w:p>
    <w:p>
      <w:pPr>
        <w:pBdr>
          <w:bottom w:val="single" w:color="1a3a6b" w:sz="4"/>
        </w:pBdr>
        <w:spacing w:before="280" w:after="100"/>
      </w:pPr>
      <w:r>
        <w:rPr>
          <w:rFonts w:ascii="Calibri" w:cs="Calibri" w:eastAsia="Calibri" w:hAnsi="Calibri"/>
          <w:b/>
          <w:bCs/>
          <w:color w:val="1a3a6b"/>
          <w:sz w:val="24"/>
          <w:szCs w:val="24"/>
        </w:rPr>
        <w:t xml:space="preserve">6. ORGANIZATIONAL ALIGNMENT &amp; STRATEGIC POSITIONING</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100"/>
              <w:left w:type="dxa" w:w="140"/>
              <w:bottom w:type="dxa" w:w="100"/>
              <w:right w:type="dxa" w:w="140"/>
            </w:tcMar>
          </w:tcPr>
          <w:p>
            <w:pPr>
              <w:spacing w:after="40"/>
            </w:pPr>
            <w:r>
              <w:rPr>
                <w:rFonts w:ascii="Calibri" w:cs="Calibri" w:eastAsia="Calibri" w:hAnsi="Calibri"/>
                <w:b/>
                <w:bCs/>
                <w:color w:val="1a3a6b"/>
                <w:sz w:val="21"/>
                <w:szCs w:val="21"/>
              </w:rPr>
              <w:t xml:space="preserve">WIOA Frameworks</w:t>
            </w:r>
          </w:p>
          <w:p>
            <w:r>
              <w:rPr>
                <w:rFonts w:ascii="Calibri" w:cs="Calibri" w:eastAsia="Calibri" w:hAnsi="Calibri"/>
                <w:sz w:val="21"/>
                <w:szCs w:val="21"/>
              </w:rPr>
              <w:t xml:space="preserve">Meets performance-based standards including credential attainment, employment placement, and retention metrics.</w:t>
            </w:r>
          </w:p>
        </w:tc>
        <w:tc>
          <w:tcPr>
            <w:tcMar>
              <w:top w:type="dxa" w:w="100"/>
              <w:left w:type="dxa" w:w="140"/>
              <w:bottom w:type="dxa" w:w="100"/>
              <w:right w:type="dxa" w:w="140"/>
            </w:tcMar>
          </w:tcPr>
          <w:p>
            <w:pPr>
              <w:spacing w:after="40"/>
            </w:pPr>
            <w:r>
              <w:rPr>
                <w:rFonts w:ascii="Calibri" w:cs="Calibri" w:eastAsia="Calibri" w:hAnsi="Calibri"/>
                <w:b/>
                <w:bCs/>
                <w:color w:val="1a3a6b"/>
                <w:sz w:val="21"/>
                <w:szCs w:val="21"/>
              </w:rPr>
              <w:t xml:space="preserve">Workforce Ready Grant (WRG)</w:t>
            </w:r>
          </w:p>
          <w:p>
            <w:r>
              <w:rPr>
                <w:rFonts w:ascii="Calibri" w:cs="Calibri" w:eastAsia="Calibri" w:hAnsi="Calibri"/>
                <w:sz w:val="21"/>
                <w:szCs w:val="21"/>
              </w:rPr>
              <w:t xml:space="preserve">Aligned with state-recognized high-demand sectors and credential-based workforce funding priorities.</w:t>
            </w:r>
          </w:p>
        </w:tc>
      </w:tr>
      <w:tr>
        <w:tc>
          <w:tcPr>
            <w:tcMar>
              <w:top w:type="dxa" w:w="100"/>
              <w:left w:type="dxa" w:w="140"/>
              <w:bottom w:type="dxa" w:w="100"/>
              <w:right w:type="dxa" w:w="140"/>
            </w:tcMar>
          </w:tcPr>
          <w:p>
            <w:pPr>
              <w:spacing w:after="40"/>
            </w:pPr>
            <w:r>
              <w:rPr>
                <w:rFonts w:ascii="Calibri" w:cs="Calibri" w:eastAsia="Calibri" w:hAnsi="Calibri"/>
                <w:b/>
                <w:bCs/>
                <w:color w:val="1a3a6b"/>
                <w:sz w:val="21"/>
                <w:szCs w:val="21"/>
              </w:rPr>
              <w:t xml:space="preserve">Justice Reinvestment Initiative (JRI)</w:t>
            </w:r>
          </w:p>
          <w:p>
            <w:r>
              <w:rPr>
                <w:rFonts w:ascii="Calibri" w:cs="Calibri" w:eastAsia="Calibri" w:hAnsi="Calibri"/>
                <w:sz w:val="21"/>
                <w:szCs w:val="21"/>
              </w:rPr>
              <w:t xml:space="preserve">Supports justice-involved individuals transitioning into structured employment pathways.</w:t>
            </w:r>
          </w:p>
        </w:tc>
        <w:tc>
          <w:tcPr>
            <w:tcMar>
              <w:top w:type="dxa" w:w="100"/>
              <w:left w:type="dxa" w:w="140"/>
              <w:bottom w:type="dxa" w:w="100"/>
              <w:right w:type="dxa" w:w="140"/>
            </w:tcMar>
          </w:tcPr>
          <w:p>
            <w:pPr>
              <w:spacing w:after="40"/>
            </w:pPr>
            <w:r>
              <w:rPr>
                <w:rFonts w:ascii="Calibri" w:cs="Calibri" w:eastAsia="Calibri" w:hAnsi="Calibri"/>
                <w:b/>
                <w:bCs/>
                <w:color w:val="1a3a6b"/>
                <w:sz w:val="21"/>
                <w:szCs w:val="21"/>
              </w:rPr>
              <w:t xml:space="preserve">Government Vendor &amp; State Bidder</w:t>
            </w:r>
          </w:p>
          <w:p>
            <w:r>
              <w:rPr>
                <w:rFonts w:ascii="Calibri" w:cs="Calibri" w:eastAsia="Calibri" w:hAnsi="Calibri"/>
                <w:sz w:val="21"/>
                <w:szCs w:val="21"/>
              </w:rPr>
              <w:t xml:space="preserve">Structured to meet public-sector accountability requirements.</w:t>
            </w:r>
          </w:p>
        </w:tc>
      </w:tr>
      <w:tr>
        <w:tc>
          <w:tcPr>
            <w:tcMar>
              <w:top w:type="dxa" w:w="100"/>
              <w:left w:type="dxa" w:w="140"/>
              <w:bottom w:type="dxa" w:w="100"/>
              <w:right w:type="dxa" w:w="140"/>
            </w:tcMar>
          </w:tcPr>
          <w:p>
            <w:pPr>
              <w:spacing w:after="40"/>
            </w:pPr>
            <w:r>
              <w:rPr>
                <w:rFonts w:ascii="Calibri" w:cs="Calibri" w:eastAsia="Calibri" w:hAnsi="Calibri"/>
                <w:b/>
                <w:bCs/>
                <w:color w:val="1a3a6b"/>
                <w:sz w:val="21"/>
                <w:szCs w:val="21"/>
              </w:rPr>
              <w:t xml:space="preserve">501(c)(3) Nonprofit Status</w:t>
            </w:r>
          </w:p>
          <w:p>
            <w:r>
              <w:rPr>
                <w:rFonts w:ascii="Calibri" w:cs="Calibri" w:eastAsia="Calibri" w:hAnsi="Calibri"/>
                <w:sz w:val="21"/>
                <w:szCs w:val="21"/>
              </w:rPr>
              <w:t xml:space="preserve">In partnership with Selfish Inc., providing compliance oversight, governance, and mission-driven service delivery.</w:t>
            </w:r>
          </w:p>
        </w:tc>
        <w:tc>
          <w:tcPr>
            <w:tcMar>
              <w:top w:type="dxa" w:w="100"/>
              <w:left w:type="dxa" w:w="140"/>
              <w:bottom w:type="dxa" w:w="100"/>
              <w:right w:type="dxa" w:w="140"/>
            </w:tcMar>
          </w:tcPr>
          <w:p>
            <w:pPr>
              <w:spacing w:after="40"/>
            </w:pPr>
            <w:r>
              <w:rPr>
                <w:rFonts w:ascii="Calibri" w:cs="Calibri" w:eastAsia="Calibri" w:hAnsi="Calibri"/>
                <w:b/>
                <w:bCs/>
                <w:color w:val="1a3a6b"/>
                <w:sz w:val="21"/>
                <w:szCs w:val="21"/>
              </w:rPr>
              <w:t xml:space="preserve">Approved Proctored Testing</w:t>
            </w:r>
          </w:p>
          <w:p>
            <w:r>
              <w:rPr>
                <w:rFonts w:ascii="Calibri" w:cs="Calibri" w:eastAsia="Calibri" w:hAnsi="Calibri"/>
                <w:sz w:val="21"/>
                <w:szCs w:val="21"/>
              </w:rPr>
              <w:t xml:space="preserve">Participants complete industry certification within the program structure.</w:t>
            </w:r>
          </w:p>
        </w:tc>
      </w:tr>
      <w:tr>
        <w:tc>
          <w:tcPr>
            <w:tcMar>
              <w:top w:type="dxa" w:w="100"/>
              <w:left w:type="dxa" w:w="140"/>
              <w:bottom w:type="dxa" w:w="100"/>
              <w:right w:type="dxa" w:w="140"/>
            </w:tcMar>
          </w:tcPr>
          <w:p>
            <w:pPr>
              <w:spacing w:after="40"/>
            </w:pPr>
            <w:r>
              <w:rPr>
                <w:rFonts w:ascii="Calibri" w:cs="Calibri" w:eastAsia="Calibri" w:hAnsi="Calibri"/>
                <w:b/>
                <w:bCs/>
                <w:color w:val="1a3a6b"/>
                <w:sz w:val="21"/>
                <w:szCs w:val="21"/>
              </w:rPr>
              <w:t xml:space="preserve">ETPL Approved — WorkOne</w:t>
            </w:r>
          </w:p>
          <w:p>
            <w:r>
              <w:rPr>
                <w:rFonts w:ascii="Calibri" w:cs="Calibri" w:eastAsia="Calibri" w:hAnsi="Calibri"/>
                <w:sz w:val="21"/>
                <w:szCs w:val="21"/>
              </w:rPr>
              <w:t xml:space="preserve">Eligible participants access training at no out-of-pocket cost through WorkOne and WIOA funding.</w:t>
            </w:r>
          </w:p>
        </w:tc>
        <w:tc>
          <w:tcPr>
            <w:tcMar>
              <w:top w:type="dxa" w:w="100"/>
              <w:left w:type="dxa" w:w="140"/>
              <w:bottom w:type="dxa" w:w="100"/>
              <w:right w:type="dxa" w:w="140"/>
            </w:tcMar>
          </w:tcPr>
          <w:p>
            <w:pPr>
              <w:spacing w:after="40"/>
            </w:pPr>
            <w:r>
              <w:rPr>
                <w:rFonts w:ascii="Calibri" w:cs="Calibri" w:eastAsia="Calibri" w:hAnsi="Calibri"/>
                <w:b/>
                <w:bCs/>
                <w:color w:val="1a3a6b"/>
                <w:sz w:val="21"/>
                <w:szCs w:val="21"/>
              </w:rPr>
              <w:t xml:space="preserve">Affiliated Nonprofit Collaboration</w:t>
            </w:r>
          </w:p>
          <w:p>
            <w:r>
              <w:rPr>
                <w:rFonts w:ascii="Calibri" w:cs="Calibri" w:eastAsia="Calibri" w:hAnsi="Calibri"/>
                <w:sz w:val="21"/>
                <w:szCs w:val="21"/>
              </w:rPr>
              <w:t xml:space="preserve">Stabilization services, financial literacy support, and long-term housing advancement coordination.</w:t>
            </w:r>
          </w:p>
        </w:tc>
      </w:tr>
    </w:tbl>
    <w:p>
      <w:r>
        <w:br w:type="page"/>
      </w:r>
    </w:p>
    <w:p>
      <w:pPr>
        <w:pBdr>
          <w:bottom w:val="single" w:color="1a3a6b" w:sz="4"/>
        </w:pBdr>
        <w:spacing w:before="280" w:after="100"/>
      </w:pPr>
      <w:r>
        <w:rPr>
          <w:rFonts w:ascii="Calibri" w:cs="Calibri" w:eastAsia="Calibri" w:hAnsi="Calibri"/>
          <w:b/>
          <w:bCs/>
          <w:color w:val="1a3a6b"/>
          <w:sz w:val="24"/>
          <w:szCs w:val="24"/>
        </w:rPr>
        <w:t xml:space="preserve">7. PROGRAM IMPACT</w:t>
      </w:r>
    </w:p>
    <w:p>
      <w:pPr>
        <w:pStyle w:val="ListParagraph"/>
        <w:numPr>
          <w:ilvl w:val="0"/>
          <w:numId w:val="1"/>
        </w:numPr>
        <w:spacing w:before="40" w:after="40"/>
      </w:pPr>
      <w:r>
        <w:rPr>
          <w:rFonts w:ascii="Calibri" w:cs="Calibri" w:eastAsia="Calibri" w:hAnsi="Calibri"/>
          <w:b w:val="false"/>
          <w:bCs w:val="false"/>
          <w:sz w:val="22"/>
          <w:szCs w:val="22"/>
        </w:rPr>
        <w:t xml:space="preserve">Increase participant earning capacity</w:t>
      </w:r>
    </w:p>
    <w:p>
      <w:pPr>
        <w:pStyle w:val="ListParagraph"/>
        <w:numPr>
          <w:ilvl w:val="0"/>
          <w:numId w:val="1"/>
        </w:numPr>
        <w:spacing w:before="40" w:after="40"/>
      </w:pPr>
      <w:r>
        <w:rPr>
          <w:rFonts w:ascii="Calibri" w:cs="Calibri" w:eastAsia="Calibri" w:hAnsi="Calibri"/>
          <w:b w:val="false"/>
          <w:bCs w:val="false"/>
          <w:sz w:val="22"/>
          <w:szCs w:val="22"/>
        </w:rPr>
        <w:t xml:space="preserve">Reduce long-term dependency on public assistance</w:t>
      </w:r>
    </w:p>
    <w:p>
      <w:pPr>
        <w:pStyle w:val="ListParagraph"/>
        <w:numPr>
          <w:ilvl w:val="0"/>
          <w:numId w:val="1"/>
        </w:numPr>
        <w:spacing w:before="40" w:after="40"/>
      </w:pPr>
      <w:r>
        <w:rPr>
          <w:rFonts w:ascii="Calibri" w:cs="Calibri" w:eastAsia="Calibri" w:hAnsi="Calibri"/>
          <w:b w:val="false"/>
          <w:bCs w:val="false"/>
          <w:sz w:val="22"/>
          <w:szCs w:val="22"/>
        </w:rPr>
        <w:t xml:space="preserve">Strengthen workforce participation compliance</w:t>
      </w:r>
    </w:p>
    <w:p>
      <w:pPr>
        <w:pStyle w:val="ListParagraph"/>
        <w:numPr>
          <w:ilvl w:val="0"/>
          <w:numId w:val="1"/>
        </w:numPr>
        <w:spacing w:before="40" w:after="40"/>
      </w:pPr>
      <w:r>
        <w:rPr>
          <w:rFonts w:ascii="Calibri" w:cs="Calibri" w:eastAsia="Calibri" w:hAnsi="Calibri"/>
          <w:b w:val="false"/>
          <w:bCs w:val="false"/>
          <w:sz w:val="22"/>
          <w:szCs w:val="22"/>
        </w:rPr>
        <w:t xml:space="preserve">Create employer-connected talent pipelines</w:t>
      </w:r>
    </w:p>
    <w:p>
      <w:pPr>
        <w:pStyle w:val="ListParagraph"/>
        <w:numPr>
          <w:ilvl w:val="0"/>
          <w:numId w:val="1"/>
        </w:numPr>
        <w:spacing w:before="40" w:after="40"/>
      </w:pPr>
      <w:r>
        <w:rPr>
          <w:rFonts w:ascii="Calibri" w:cs="Calibri" w:eastAsia="Calibri" w:hAnsi="Calibri"/>
          <w:b w:val="false"/>
          <w:bCs w:val="false"/>
          <w:sz w:val="22"/>
          <w:szCs w:val="22"/>
        </w:rPr>
        <w:t xml:space="preserve">Support measurable movement toward housing independence</w:t>
      </w:r>
    </w:p>
    <w:p>
      <w:pPr>
        <w:pBdr>
          <w:bottom w:val="single" w:color="1a3a6b" w:sz="4"/>
        </w:pBdr>
        <w:spacing w:before="280" w:after="100"/>
      </w:pPr>
      <w:r>
        <w:rPr>
          <w:rFonts w:ascii="Calibri" w:cs="Calibri" w:eastAsia="Calibri" w:hAnsi="Calibri"/>
          <w:b/>
          <w:bCs/>
          <w:color w:val="1a3a6b"/>
          <w:sz w:val="24"/>
          <w:szCs w:val="24"/>
        </w:rPr>
        <w:t xml:space="preserve">8. NEXT STEPS: PARTNERSHIP DISCUSSION</w:t>
      </w:r>
    </w:p>
    <w:p>
      <w:pPr>
        <w:spacing w:before="80" w:after="80"/>
        <w:jc w:val="both"/>
      </w:pPr>
      <w:r>
        <w:rPr>
          <w:rFonts w:ascii="Calibri" w:cs="Calibri" w:eastAsia="Calibri" w:hAnsi="Calibri"/>
          <w:color w:val="111111"/>
          <w:sz w:val="22"/>
          <w:szCs w:val="22"/>
        </w:rPr>
        <w:t xml:space="preserve">Elevate is prepared to implement this Workforce to Homeownership Mobility Program immediately in collaboration with housing leadership and employer partners.</w:t>
      </w:r>
    </w:p>
    <w:p>
      <w:pPr>
        <w:spacing w:before="80" w:after="80"/>
        <w:jc w:val="both"/>
      </w:pPr>
      <w:r>
        <w:rPr>
          <w:rFonts w:ascii="Calibri" w:cs="Calibri" w:eastAsia="Calibri" w:hAnsi="Calibri"/>
          <w:color w:val="111111"/>
          <w:sz w:val="22"/>
          <w:szCs w:val="22"/>
        </w:rPr>
        <w:t xml:space="preserve">We would welcome a 30-minute call to discuss how this model can be tailored to support the residents and workforce goals of your organization.</w:t>
      </w:r>
    </w:p>
    <w:p>
      <w:pPr>
        <w:pBdr>
          <w:bottom w:val="single" w:color="1a3a6b" w:sz="4"/>
        </w:pBdr>
        <w:spacing w:before="280" w:after="100"/>
      </w:pPr>
      <w:r>
        <w:rPr>
          <w:rFonts w:ascii="Calibri" w:cs="Calibri" w:eastAsia="Calibri" w:hAnsi="Calibri"/>
          <w:b/>
          <w:bCs/>
          <w:color w:val="1a3a6b"/>
          <w:sz w:val="24"/>
          <w:szCs w:val="24"/>
        </w:rPr>
        <w:t xml:space="preserve">9. CONTACT INFORMATION</w:t>
      </w:r>
    </w:p>
    <w:p>
      <w:pPr>
        <w:spacing w:before="120"/>
      </w:pPr>
    </w:p>
    <w:p>
      <w:r>
        <w:rPr>
          <w:rFonts w:ascii="Calibri" w:cs="Calibri" w:eastAsia="Calibri" w:hAnsi="Calibri"/>
          <w:b/>
          <w:bCs/>
          <w:color w:val="1a3a6b"/>
          <w:sz w:val="28"/>
          <w:szCs w:val="28"/>
        </w:rPr>
        <w:t xml:space="preserve">Elizabeth L. Greene</w:t>
      </w:r>
    </w:p>
    <w:p>
      <w:pPr>
        <w:spacing w:before="60"/>
      </w:pPr>
    </w:p>
    <w:p>
      <w:r>
        <w:rPr>
          <w:rFonts w:ascii="Calibri" w:cs="Calibri" w:eastAsia="Calibri" w:hAnsi="Calibri"/>
          <w:sz w:val="22"/>
          <w:szCs w:val="22"/>
        </w:rPr>
        <w:t xml:space="preserve">Founder &amp; Executive Director</w:t>
      </w:r>
    </w:p>
    <w:p>
      <w:r>
        <w:rPr>
          <w:rFonts w:ascii="Calibri" w:cs="Calibri" w:eastAsia="Calibri" w:hAnsi="Calibri"/>
          <w:sz w:val="22"/>
          <w:szCs w:val="22"/>
        </w:rPr>
        <w:t xml:space="preserve">Elevate for Humanity Career &amp; Technical Institute</w:t>
      </w:r>
    </w:p>
    <w:p>
      <w:r>
        <w:rPr>
          <w:rFonts w:ascii="Calibri" w:cs="Calibri" w:eastAsia="Calibri" w:hAnsi="Calibri"/>
          <w:sz w:val="22"/>
          <w:szCs w:val="22"/>
        </w:rPr>
        <w:t xml:space="preserve">(317) 314-3757</w:t>
      </w:r>
    </w:p>
    <w:p>
      <w:r>
        <w:rPr>
          <w:rFonts w:ascii="Calibri" w:cs="Calibri" w:eastAsia="Calibri" w:hAnsi="Calibri"/>
          <w:color w:val="1a3a6b"/>
          <w:sz w:val="22"/>
          <w:szCs w:val="22"/>
        </w:rPr>
        <w:t xml:space="preserve">www.elevateforhumanity.org</w:t>
      </w:r>
    </w:p>
    <w:p>
      <w:r>
        <w:rPr>
          <w:rFonts w:ascii="Calibri" w:cs="Calibri" w:eastAsia="Calibri" w:hAnsi="Calibri"/>
          <w:color w:val="1a3a6b"/>
          <w:sz w:val="22"/>
          <w:szCs w:val="22"/>
        </w:rPr>
        <w:t xml:space="preserve">Elevate4humanityedu@gmail.com</w:t>
      </w:r>
    </w:p>
    <w:p>
      <w:pPr>
        <w:spacing w:before="360"/>
      </w:pPr>
    </w:p>
    <w:p>
      <w:pPr>
        <w:pBdr>
          <w:bottom w:val="single" w:color="1a3a6b" w:sz="8"/>
        </w:pBdr>
        <w:spacing w:before="60" w:after="60"/>
      </w:pPr>
    </w:p>
    <w:p>
      <w:pPr>
        <w:spacing w:before="120"/>
        <w:jc w:val="center"/>
      </w:pPr>
      <w:r>
        <w:rPr>
          <w:rFonts w:ascii="Calibri" w:cs="Calibri" w:eastAsia="Calibri" w:hAnsi="Calibri"/>
          <w:i/>
          <w:iCs/>
          <w:color w:val="999999"/>
          <w:sz w:val="18"/>
          <w:szCs w:val="18"/>
        </w:rPr>
        <w:t xml:space="preserve">Elevate for Humanity is a 501(c)(3) nonprofit workforce development institute.</w:t>
      </w:r>
    </w:p>
    <w:sectPr>
      <w:headerReference w:type="default" r:id="rId6"/>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Calibri" w:cs="Calibri" w:eastAsia="Calibri" w:hAnsi="Calibri"/>
        <w:color w:val="999999"/>
        <w:sz w:val="16"/>
        <w:szCs w:val="16"/>
      </w:rPr>
      <w:t xml:space="preserve">Elevate for Humanity  |  (317) 314-3757  |  www.elevateforhumanity.org          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auto" w:sz="0"/>
        <w:left w:val="none" w:color="auto" w:sz="0"/>
        <w:bottom w:val="single" w:color="1a3a6b" w:sz="6"/>
        <w:right w:val="none" w:color="auto" w:sz="0"/>
        <w:insideH w:val="single" w:color="auto" w:sz="4"/>
        <w:insideV w:val="single" w:color="auto" w:sz="4"/>
      </w:tblBorders>
    </w:tblPr>
    <w:tblGrid>
      <w:gridCol w:w="100"/>
      <w:gridCol w:w="100"/>
    </w:tblGrid>
    <w:tr>
      <w:tc>
        <w:tcPr>
          <w:tcBorders>
            <w:top w:val="none" w:color="auto" w:sz="0"/>
            <w:left w:val="none" w:color="auto" w:sz="0"/>
            <w:bottom w:val="none" w:color="auto" w:sz="0"/>
            <w:right w:val="none" w:color="auto" w:sz="0"/>
          </w:tcBorders>
        </w:tcPr>
        <w:p>
          <w:r>
            <w:drawing>
              <wp:inline distT="0" distB="0" distL="0" distR="0">
                <wp:extent cx="8572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342900"/>
                        </a:xfrm>
                        <a:prstGeom prst="rect">
                          <a:avLst/>
                        </a:prstGeom>
                      </pic:spPr>
                    </pic:pic>
                  </a:graphicData>
                </a:graphic>
              </wp:inline>
            </w:drawing>
          </w:r>
        </w:p>
      </w:tc>
      <w:tc>
        <w:tcPr>
          <w:tcBorders>
            <w:top w:val="none" w:color="auto" w:sz="0"/>
            <w:left w:val="none" w:color="auto" w:sz="0"/>
            <w:bottom w:val="none" w:color="auto" w:sz="0"/>
            <w:right w:val="none" w:color="auto" w:sz="0"/>
          </w:tcBorders>
        </w:tcPr>
        <w:p>
          <w:pPr>
            <w:jc w:val="right"/>
          </w:pPr>
          <w:r>
            <w:rPr>
              <w:rFonts w:ascii="Calibri" w:cs="Calibri" w:eastAsia="Calibri" w:hAnsi="Calibri"/>
              <w:color w:val="888888"/>
              <w:sz w:val="16"/>
              <w:szCs w:val="16"/>
            </w:rPr>
            <w:t xml:space="preserve">Workforce to Homeownership Mobility Program</w:t>
          </w:r>
        </w:p>
        <w:p>
          <w:pPr>
            <w:jc w:val="right"/>
          </w:pPr>
          <w:r>
            <w:rPr>
              <w:rFonts w:ascii="Calibri" w:cs="Calibri" w:eastAsia="Calibri" w:hAnsi="Calibri"/>
              <w:color w:val="888888"/>
              <w:sz w:val="16"/>
              <w:szCs w:val="16"/>
            </w:rPr>
            <w:t xml:space="preserve">Proposal for Strategic Collaboration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42cd9c03390f24bec2a6015bb72a8f47a0c9653.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42cd9c03390f24bec2a6015bb72a8f47a0c965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2026-03-20T11:02:13.686Z</dcterms:created>
  <dcterms:modified xsi:type="dcterms:W3CDTF">2026-03-20T11:02:13.686Z</dcterms:modified>
</cp:coreProperties>
</file>

<file path=docProps/custom.xml><?xml version="1.0" encoding="utf-8"?>
<Properties xmlns="http://schemas.openxmlformats.org/officeDocument/2006/custom-properties" xmlns:vt="http://schemas.openxmlformats.org/officeDocument/2006/docPropsVTypes"/>
</file>