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D6124"/>
    <w:p w14:paraId="47421F2D"/>
    <w:p w14:paraId="3666A7A1"/>
    <w:p w14:paraId="70A4E9CA"/>
    <w:p w14:paraId="0F9C2EB6"/>
    <w:p w14:paraId="31B1708C">
      <w:pPr>
        <w:jc w:val="center"/>
      </w:pPr>
      <w:r>
        <w:rPr>
          <w:rFonts w:ascii="黑体" w:hAnsi="黑体" w:eastAsia="黑体"/>
          <w:b/>
          <w:sz w:val="44"/>
        </w:rPr>
        <w:t>"中国电机工程学会杯"全国大学生</w:t>
      </w:r>
    </w:p>
    <w:p w14:paraId="47A15F34">
      <w:pPr>
        <w:jc w:val="center"/>
      </w:pPr>
      <w:r>
        <w:rPr>
          <w:rFonts w:ascii="黑体" w:hAnsi="黑体" w:eastAsia="黑体"/>
          <w:b/>
          <w:sz w:val="44"/>
        </w:rPr>
        <w:t>电工数学建模竞赛</w:t>
      </w:r>
    </w:p>
    <w:p w14:paraId="48665E15"/>
    <w:p w14:paraId="5F59AF78">
      <w:pPr>
        <w:jc w:val="center"/>
      </w:pPr>
      <w:r>
        <w:rPr>
          <w:rFonts w:ascii="宋体" w:hAnsi="宋体" w:eastAsia="宋体"/>
          <w:sz w:val="32"/>
        </w:rPr>
        <w:t>参赛编号：006033</w:t>
      </w:r>
    </w:p>
    <w:p w14:paraId="6720CAFD"/>
    <w:p w14:paraId="15E811BD"/>
    <w:p w14:paraId="72ED27C4"/>
    <w:p w14:paraId="22918878">
      <w:pPr>
        <w:jc w:val="center"/>
      </w:pPr>
      <w:r>
        <w:rPr>
          <w:rFonts w:ascii="黑体" w:hAnsi="黑体" w:eastAsia="黑体"/>
          <w:b/>
          <w:sz w:val="36"/>
        </w:rPr>
        <w:t>嵌入式社区养老服务站的建设与优化问题</w:t>
      </w:r>
    </w:p>
    <w:p w14:paraId="0B24FE6F">
      <w:pPr>
        <w:spacing w:before="160" w:after="60"/>
        <w:rPr>
          <w:rFonts w:ascii="黑体" w:hAnsi="黑体" w:eastAsia="黑体"/>
          <w:b/>
          <w:sz w:val="28"/>
        </w:rPr>
        <w:sectPr>
          <w:pgSz w:w="12240" w:h="15840"/>
          <w:pgMar w:top="1417" w:right="1417" w:bottom="1417" w:left="1417" w:header="720" w:footer="720" w:gutter="0"/>
          <w:cols w:space="720" w:num="1"/>
          <w:docGrid w:linePitch="360" w:charSpace="0"/>
        </w:sectPr>
      </w:pPr>
    </w:p>
    <w:p w14:paraId="0E629E28">
      <w:pPr>
        <w:spacing w:before="160" w:after="60"/>
      </w:pPr>
      <w:r>
        <w:rPr>
          <w:rFonts w:ascii="黑体" w:hAnsi="黑体" w:eastAsia="黑体"/>
          <w:b/>
          <w:sz w:val="28"/>
        </w:rPr>
        <w:t>嵌入式社区养老服务站的建设与优化问题</w:t>
      </w:r>
    </w:p>
    <w:p w14:paraId="632E7F0A">
      <w:pPr>
        <w:spacing w:before="160" w:after="60"/>
      </w:pPr>
      <w:r>
        <w:rPr>
          <w:rFonts w:ascii="黑体" w:hAnsi="黑体" w:eastAsia="黑体"/>
          <w:b/>
          <w:sz w:val="28"/>
        </w:rPr>
        <w:t>摘  要</w:t>
      </w:r>
    </w:p>
    <w:p w14:paraId="7FDD9636">
      <w:pPr>
        <w:keepNext w:val="0"/>
        <w:keepLines w:val="0"/>
        <w:pageBreakBefore w:val="0"/>
        <w:widowControl/>
        <w:kinsoku/>
        <w:wordWrap/>
        <w:overflowPunct/>
        <w:topLinePunct w:val="0"/>
        <w:autoSpaceDE/>
        <w:autoSpaceDN/>
        <w:bidi w:val="0"/>
        <w:adjustRightInd/>
        <w:snapToGrid/>
        <w:spacing w:after="20" w:line="360" w:lineRule="auto"/>
        <w:ind w:firstLine="480"/>
        <w:textAlignment w:val="auto"/>
      </w:pPr>
      <w:r>
        <w:rPr>
          <w:rFonts w:ascii="Times New Roman" w:hAnsi="Times New Roman" w:eastAsia="宋体"/>
          <w:b w:val="0"/>
          <w:sz w:val="24"/>
        </w:rPr>
        <w:t>针对嵌入式社区养老服务站的建设与优化问题，本文以10个连片小区为对象，构建"人口预测—选址优化—定价补贴—灵敏度分析"四阶段递推建模框架，</w:t>
      </w:r>
      <w:r>
        <w:rPr>
          <w:rFonts w:ascii="Times New Roman" w:hAnsi="Times New Roman" w:eastAsia="宋体"/>
          <w:b/>
          <w:sz w:val="24"/>
        </w:rPr>
        <w:t>并创新性地提出"价格-需求-满意度-分配"四元耦合不动点迭代算法，实现了多目标决策的全局协同求解。</w:t>
      </w:r>
    </w:p>
    <w:p w14:paraId="2FE9B8C9">
      <w:pPr>
        <w:keepNext w:val="0"/>
        <w:keepLines w:val="0"/>
        <w:pageBreakBefore w:val="0"/>
        <w:widowControl/>
        <w:kinsoku/>
        <w:wordWrap/>
        <w:overflowPunct/>
        <w:topLinePunct w:val="0"/>
        <w:autoSpaceDE/>
        <w:autoSpaceDN/>
        <w:bidi w:val="0"/>
        <w:adjustRightInd/>
        <w:snapToGrid/>
        <w:spacing w:after="20" w:line="360" w:lineRule="auto"/>
        <w:ind w:firstLine="480"/>
        <w:textAlignment w:val="auto"/>
      </w:pPr>
      <w:r>
        <w:rPr>
          <w:rFonts w:ascii="Times New Roman" w:hAnsi="Times New Roman" w:eastAsia="宋体"/>
          <w:b w:val="0"/>
          <w:sz w:val="24"/>
        </w:rPr>
        <w:t>问题一：建立</w:t>
      </w:r>
      <w:r>
        <w:rPr>
          <w:rFonts w:ascii="Times New Roman" w:hAnsi="Times New Roman" w:eastAsia="宋体"/>
          <w:b/>
          <w:sz w:val="24"/>
        </w:rPr>
        <w:t>三态Markov人口递推模型（新增→转移→死亡）</w:t>
      </w:r>
      <w:r>
        <w:rPr>
          <w:rFonts w:ascii="Times New Roman" w:hAnsi="Times New Roman" w:eastAsia="宋体"/>
          <w:b w:val="0"/>
          <w:sz w:val="24"/>
        </w:rPr>
        <w:t>，通过特征值分析揭示人口结构演化机制。预测第5年末老年人口增至</w:t>
      </w:r>
      <w:r>
        <w:rPr>
          <w:rFonts w:ascii="Times New Roman" w:hAnsi="Times New Roman" w:eastAsia="宋体"/>
          <w:b/>
          <w:sz w:val="24"/>
        </w:rPr>
        <w:t>7449人，其中失能老人增长78%</w:t>
      </w:r>
      <w:r>
        <w:rPr>
          <w:rFonts w:ascii="Times New Roman" w:hAnsi="Times New Roman" w:eastAsia="宋体"/>
          <w:b w:val="0"/>
          <w:sz w:val="24"/>
        </w:rPr>
        <w:t>，结构性矛盾远超总量矛盾。引入"消费上限等比例削减"机制处理收入约束（自理α≡1.0，失能α∈[0.67,0.94]），将六类服务的日均需求量化为8214人次/日，为选址提供需求基准。</w:t>
      </w:r>
    </w:p>
    <w:p w14:paraId="1751612C">
      <w:pPr>
        <w:keepNext w:val="0"/>
        <w:keepLines w:val="0"/>
        <w:pageBreakBefore w:val="0"/>
        <w:widowControl/>
        <w:kinsoku/>
        <w:wordWrap/>
        <w:overflowPunct/>
        <w:topLinePunct w:val="0"/>
        <w:autoSpaceDE/>
        <w:autoSpaceDN/>
        <w:bidi w:val="0"/>
        <w:adjustRightInd/>
        <w:snapToGrid/>
        <w:spacing w:after="20" w:line="360" w:lineRule="auto"/>
        <w:ind w:firstLine="480"/>
        <w:textAlignment w:val="auto"/>
      </w:pPr>
      <w:r>
        <w:rPr>
          <w:rFonts w:ascii="Times New Roman" w:hAnsi="Times New Roman" w:eastAsia="宋体"/>
          <w:b w:val="0"/>
          <w:sz w:val="24"/>
        </w:rPr>
        <w:t>问题二：以120万元预算、1000m全覆盖、利润率∈(-5%,8%]为约束，构建带容量约束的混合整数非线性规划（MINLP）模型。针对S₂拥挤度满意度的离散阶跃特性，采用阻尼不动点迭代（damping=0.5）替代直接求导，在O(2³⁰)决策空间中通过预算与覆盖剪枝高效求解。</w:t>
      </w:r>
      <w:r>
        <w:rPr>
          <w:rFonts w:ascii="Times New Roman" w:hAnsi="Times New Roman" w:eastAsia="宋体"/>
          <w:b/>
          <w:sz w:val="24"/>
        </w:rPr>
        <w:t>最优方案为5站建设（A/J中型，C/G/I小型），总投资109万元，地理覆盖率100%，加权满意度0.926，10小区Gini系数0.022</w:t>
      </w:r>
      <w:r>
        <w:rPr>
          <w:rFonts w:ascii="Times New Roman" w:hAnsi="Times New Roman" w:eastAsia="宋体"/>
          <w:b w:val="0"/>
          <w:sz w:val="24"/>
        </w:rPr>
        <w:t>，空间公平性达"高度均等"水平。服务满足率85.2%（容量7000/需求8214），容量缺口14.8%揭示了系统的结构性矛盾。</w:t>
      </w:r>
    </w:p>
    <w:p w14:paraId="37B64783">
      <w:pPr>
        <w:keepNext w:val="0"/>
        <w:keepLines w:val="0"/>
        <w:pageBreakBefore w:val="0"/>
        <w:widowControl/>
        <w:kinsoku/>
        <w:wordWrap/>
        <w:overflowPunct/>
        <w:topLinePunct w:val="0"/>
        <w:autoSpaceDE/>
        <w:autoSpaceDN/>
        <w:bidi w:val="0"/>
        <w:adjustRightInd/>
        <w:snapToGrid/>
        <w:spacing w:after="20" w:line="360" w:lineRule="auto"/>
        <w:ind w:firstLine="480"/>
        <w:textAlignment w:val="auto"/>
      </w:pPr>
      <w:r>
        <w:rPr>
          <w:rFonts w:ascii="Times New Roman" w:hAnsi="Times New Roman" w:eastAsia="宋体"/>
          <w:b w:val="0"/>
          <w:sz w:val="24"/>
        </w:rPr>
        <w:t>问题三：在卖方市场（容量缺口14.8%）下，</w:t>
      </w:r>
      <w:r>
        <w:rPr>
          <w:rFonts w:ascii="Times New Roman" w:hAnsi="Times New Roman" w:eastAsia="宋体"/>
          <w:b/>
          <w:sz w:val="24"/>
        </w:rPr>
        <w:t>从理论上证明价格工具失效——构造等弹性需求曲线与容量截断函数，推导出营收关于价格严格单调，降价同时损失利润与满意度，无Pareto优势。</w:t>
      </w:r>
      <w:r>
        <w:rPr>
          <w:rFonts w:ascii="Times New Roman" w:hAnsi="Times New Roman" w:eastAsia="宋体"/>
          <w:b w:val="0"/>
          <w:sz w:val="24"/>
        </w:rPr>
        <w:t>5站利润率均值13.4%全面突破8%政策红线，年超额利润346万元。据此提出</w:t>
      </w:r>
      <w:r>
        <w:rPr>
          <w:rFonts w:ascii="Times New Roman" w:hAnsi="Times New Roman" w:eastAsia="宋体"/>
          <w:b/>
          <w:sz w:val="24"/>
        </w:rPr>
        <w:t>"短期回收+长期扩容"双层治理机制</w:t>
      </w:r>
      <w:r>
        <w:rPr>
          <w:rFonts w:ascii="Times New Roman" w:hAnsi="Times New Roman" w:eastAsia="宋体"/>
          <w:b w:val="0"/>
          <w:sz w:val="24"/>
        </w:rPr>
        <w:t>——超额利润强制回收用于站际交叉补贴，同时启动预算扩容（109→140万元）推动利润率自然回归。</w:t>
      </w:r>
    </w:p>
    <w:p w14:paraId="4C25CEC5">
      <w:pPr>
        <w:keepNext w:val="0"/>
        <w:keepLines w:val="0"/>
        <w:pageBreakBefore w:val="0"/>
        <w:widowControl/>
        <w:kinsoku/>
        <w:wordWrap/>
        <w:overflowPunct/>
        <w:topLinePunct w:val="0"/>
        <w:autoSpaceDE/>
        <w:autoSpaceDN/>
        <w:bidi w:val="0"/>
        <w:adjustRightInd/>
        <w:snapToGrid/>
        <w:spacing w:after="20" w:line="360" w:lineRule="auto"/>
        <w:ind w:firstLine="480"/>
        <w:textAlignment w:val="auto"/>
      </w:pPr>
      <w:r>
        <w:rPr>
          <w:rFonts w:ascii="Times New Roman" w:hAnsi="Times New Roman" w:eastAsia="宋体"/>
          <w:b w:val="0"/>
          <w:sz w:val="24"/>
        </w:rPr>
        <w:t>问题四：三组单因素灵敏度实验+Monte Carlo鲁棒性验证表明，</w:t>
      </w:r>
      <w:r>
        <w:rPr>
          <w:rFonts w:ascii="Times New Roman" w:hAnsi="Times New Roman" w:eastAsia="宋体"/>
          <w:b/>
          <w:sz w:val="24"/>
        </w:rPr>
        <w:t>最优方案{A,C,G,I,J}在100次扰动模拟中出现频率100%，结构稳定性极强。</w:t>
      </w:r>
      <w:r>
        <w:rPr>
          <w:rFonts w:ascii="Times New Roman" w:hAnsi="Times New Roman" w:eastAsia="宋体"/>
          <w:b w:val="0"/>
          <w:sz w:val="24"/>
        </w:rPr>
        <w:t>预算80万时系统逼近临界点（满意度跌至0.905），140万时满意度升至0.940且利润率回归8%区间。本文方法论框架可直接迁移至社区医疗站、中小学布局等同类公共服务设施规划问题。</w:t>
      </w:r>
    </w:p>
    <w:p w14:paraId="78E1A76B">
      <w:pPr>
        <w:keepNext w:val="0"/>
        <w:keepLines w:val="0"/>
        <w:pageBreakBefore w:val="0"/>
        <w:widowControl/>
        <w:kinsoku/>
        <w:wordWrap/>
        <w:overflowPunct/>
        <w:topLinePunct w:val="0"/>
        <w:autoSpaceDE/>
        <w:autoSpaceDN/>
        <w:bidi w:val="0"/>
        <w:adjustRightInd/>
        <w:snapToGrid/>
        <w:spacing w:after="20"/>
        <w:textAlignment w:val="auto"/>
      </w:pPr>
    </w:p>
    <w:p w14:paraId="3257A25F">
      <w:pPr>
        <w:keepNext w:val="0"/>
        <w:keepLines w:val="0"/>
        <w:pageBreakBefore w:val="0"/>
        <w:widowControl/>
        <w:kinsoku/>
        <w:wordWrap/>
        <w:overflowPunct/>
        <w:topLinePunct w:val="0"/>
        <w:autoSpaceDE/>
        <w:autoSpaceDN/>
        <w:bidi w:val="0"/>
        <w:adjustRightInd/>
        <w:snapToGrid/>
        <w:spacing w:after="20"/>
        <w:textAlignment w:val="auto"/>
      </w:pPr>
      <w:r>
        <w:rPr>
          <w:rFonts w:ascii="宋体" w:hAnsi="宋体" w:eastAsia="宋体"/>
          <w:b/>
          <w:sz w:val="24"/>
        </w:rPr>
        <w:t>关键词：</w:t>
      </w:r>
      <w:r>
        <w:rPr>
          <w:rFonts w:ascii="宋体" w:hAnsi="宋体" w:eastAsia="宋体"/>
          <w:sz w:val="24"/>
        </w:rPr>
        <w:t>社区养老；Markov预测；MINLP选址；不动点迭代；卖方市场失效；双层定价；灵敏度分析</w:t>
      </w:r>
      <w:r>
        <w:br w:type="page"/>
      </w:r>
      <w:r>
        <w:rPr>
          <w:rFonts w:ascii="黑体" w:hAnsi="黑体" w:eastAsia="黑体"/>
          <w:b/>
          <w:sz w:val="32"/>
        </w:rPr>
        <w:t>一、问题重述</w:t>
      </w:r>
    </w:p>
    <w:p w14:paraId="2628E5FC">
      <w:pPr>
        <w:spacing w:line="360" w:lineRule="auto"/>
        <w:ind w:firstLine="480"/>
      </w:pPr>
      <w:r>
        <w:rPr>
          <w:rFonts w:ascii="Times New Roman" w:hAnsi="Times New Roman" w:eastAsia="宋体"/>
          <w:sz w:val="24"/>
        </w:rPr>
        <w:t>随着"十五五"养老服务网络建设推进[3]，某街道下辖10个连片小区（A~J）计划建设嵌入式养老服务站，提供助餐、日间照料、上门护理、康复理疗、助浴、紧急救助六类服务。需解决：(1)基于附件1人口结构与转移概率，预测五年老年人口与服务需求；(2)在120万元预算下优化站点数量、位置与规模；(3)引入政府补贴后优化定价；(4)评估模型参数敏感性。</w:t>
      </w:r>
    </w:p>
    <w:p w14:paraId="324E5EC1">
      <w:pPr>
        <w:spacing w:before="160" w:after="60"/>
      </w:pPr>
      <w:r>
        <w:rPr>
          <w:rFonts w:ascii="黑体" w:hAnsi="黑体" w:eastAsia="黑体"/>
          <w:b/>
          <w:sz w:val="32"/>
        </w:rPr>
        <w:t>二、问题分析与模型假设</w:t>
      </w:r>
    </w:p>
    <w:p w14:paraId="56EF2641">
      <w:pPr>
        <w:spacing w:before="160" w:after="60"/>
      </w:pPr>
      <w:r>
        <w:rPr>
          <w:rFonts w:ascii="黑体" w:hAnsi="黑体" w:eastAsia="黑体"/>
          <w:b/>
          <w:sz w:val="28"/>
        </w:rPr>
        <w:t>2.1 问题分析</w:t>
      </w:r>
    </w:p>
    <w:p w14:paraId="43732A0F">
      <w:pPr>
        <w:spacing w:line="360" w:lineRule="auto"/>
        <w:ind w:firstLine="480"/>
      </w:pPr>
      <w:r>
        <w:rPr>
          <w:rFonts w:ascii="Times New Roman" w:hAnsi="Times New Roman" w:eastAsia="宋体"/>
          <w:sz w:val="24"/>
        </w:rPr>
        <w:t>本题的核心是在人口老龄化加速与财政预算有限的双重约束下，为社区嵌入式养老服务站做出科学的建设决策与运营优化。四个子问题之间存在显著的递进与耦合关系：问题一（需求侧预测）基于人口自然演化预测服务需求量，为后续选址提供需求基础，本质是一个含多状态转移的离散动力系统；问题二（供给侧优化）在30个候选站位中决策建设组合与规模，使全体老人加权综合满意度最大化，其本质是带容量约束的混合整数规划问题；问题三（价格-补贴博弈）在选址给定后调整服务价格与政府补贴，本质是有限容量下的定价博弈；问题四（灵敏度与鲁棒性）通过单因素扰动与Monte Carlo模拟量化模型对关键参数的敏感程度。四个子问题层层递进且参数前后传递，构成完整的"需求—供给—价格—鲁棒性"研究链条。</w:t>
      </w:r>
    </w:p>
    <w:p w14:paraId="467C03AA">
      <w:pPr>
        <w:spacing w:before="160" w:after="60"/>
      </w:pPr>
      <w:r>
        <w:rPr>
          <w:rFonts w:ascii="黑体" w:hAnsi="黑体" w:eastAsia="黑体"/>
          <w:b/>
          <w:sz w:val="28"/>
        </w:rPr>
        <w:t>2.2 模型假设</w:t>
      </w:r>
    </w:p>
    <w:p w14:paraId="249E58EA">
      <w:pPr>
        <w:spacing w:line="360" w:lineRule="auto"/>
        <w:ind w:firstLine="480"/>
      </w:pPr>
      <w:r>
        <w:rPr>
          <w:rFonts w:ascii="Times New Roman" w:hAnsi="Times New Roman" w:eastAsia="宋体"/>
          <w:sz w:val="24"/>
        </w:rPr>
        <w:t>(A1) 人口流动假设：5年规划期内各小区老年人口不发生跨区迁移，仅经历"60岁新增→自理→半失能→失能→死亡"的自然演化过程。</w:t>
      </w:r>
    </w:p>
    <w:p w14:paraId="1EE7745A">
      <w:pPr>
        <w:spacing w:line="360" w:lineRule="auto"/>
        <w:ind w:firstLine="480"/>
      </w:pPr>
      <w:r>
        <w:rPr>
          <w:rFonts w:ascii="Times New Roman" w:hAnsi="Times New Roman" w:eastAsia="宋体"/>
          <w:sz w:val="24"/>
        </w:rPr>
        <w:t>(A2) 就近选择假设：老人按"综合满意度最高"原则选择服务站，不考虑个体偏好的随机异质性。综合满意度由距离、拥挤度、价格三维度按权重0.2:0.3:0.5加权而成。</w:t>
      </w:r>
    </w:p>
    <w:p w14:paraId="5B81E99F">
      <w:pPr>
        <w:spacing w:line="360" w:lineRule="auto"/>
        <w:ind w:firstLine="480"/>
      </w:pPr>
      <w:r>
        <w:rPr>
          <w:rFonts w:ascii="Times New Roman" w:hAnsi="Times New Roman" w:eastAsia="宋体"/>
          <w:sz w:val="24"/>
        </w:rPr>
        <w:t>(A3) 服务能力同质假设：站点服务能力以"日均人次"统一度量，不区分不同服务类型对资源的差异化消耗，属工程化建模的标准简化。</w:t>
      </w:r>
    </w:p>
    <w:p w14:paraId="515B8016">
      <w:pPr>
        <w:spacing w:line="360" w:lineRule="auto"/>
        <w:ind w:firstLine="480"/>
      </w:pPr>
      <w:r>
        <w:rPr>
          <w:rFonts w:ascii="Times New Roman" w:hAnsi="Times New Roman" w:eastAsia="宋体"/>
          <w:sz w:val="24"/>
        </w:rPr>
        <w:t>(A4) 建设期假设：站点建设期统一为1年，建成后立即满负荷运营，20年生命周期内不发生大修或扩容。</w:t>
      </w:r>
    </w:p>
    <w:p w14:paraId="793A97DF">
      <w:pPr>
        <w:spacing w:line="360" w:lineRule="auto"/>
        <w:ind w:firstLine="480"/>
      </w:pPr>
      <w:r>
        <w:rPr>
          <w:rFonts w:ascii="Times New Roman" w:hAnsi="Times New Roman" w:eastAsia="宋体"/>
          <w:sz w:val="24"/>
        </w:rPr>
        <w:t>(A5) 财政可持续假设：政府补贴按既定标准稳定发放，财政可持续性不构成模型约束。</w:t>
      </w:r>
    </w:p>
    <w:p w14:paraId="75CA2926">
      <w:pPr>
        <w:spacing w:line="360" w:lineRule="auto"/>
        <w:ind w:firstLine="480"/>
      </w:pPr>
      <w:r>
        <w:rPr>
          <w:rFonts w:ascii="Times New Roman" w:hAnsi="Times New Roman" w:eastAsia="宋体"/>
          <w:sz w:val="24"/>
        </w:rPr>
        <w:t>(A6) 参数静态假设：附件给定的转移概率、价格、成本系数在5年规划期内保持不变，该假设的偏差通过§6灵敏度分析专门评估。</w:t>
      </w:r>
    </w:p>
    <w:p w14:paraId="43613379">
      <w:pPr>
        <w:spacing w:line="360" w:lineRule="auto"/>
        <w:ind w:firstLine="480"/>
      </w:pPr>
      <w:r>
        <w:rPr>
          <w:rFonts w:ascii="Times New Roman" w:hAnsi="Times New Roman" w:eastAsia="宋体"/>
          <w:sz w:val="24"/>
        </w:rPr>
        <w:t>(A7) 利润率边界假设：单站年净利润率约束在(-5%,8%]区间，下限保证财务可持续，上限防止公益属性异化为牟利工具。</w:t>
      </w:r>
    </w:p>
    <w:p w14:paraId="49E126D9">
      <w:pPr>
        <w:spacing w:line="360" w:lineRule="auto"/>
        <w:ind w:firstLine="480"/>
      </w:pPr>
      <w:r>
        <w:rPr>
          <w:rFonts w:ascii="Times New Roman" w:hAnsi="Times New Roman" w:eastAsia="宋体"/>
          <w:sz w:val="24"/>
        </w:rPr>
        <w:t>上述假设在宏观规划层面合理可接受，由其引发的局部偏差在第6章通过灵敏度分析与Monte Carlo模拟进行了量化检验。</w:t>
      </w:r>
    </w:p>
    <w:p w14:paraId="5C5D4481">
      <w:pPr>
        <w:spacing w:before="160" w:after="60"/>
      </w:pPr>
      <w:r>
        <w:rPr>
          <w:rFonts w:ascii="黑体" w:hAnsi="黑体" w:eastAsia="黑体"/>
          <w:b/>
          <w:sz w:val="32"/>
        </w:rPr>
        <w:t>三、符号说明</w:t>
      </w:r>
    </w:p>
    <w:p w14:paraId="353B1E75">
      <w:pPr>
        <w:spacing w:before="80"/>
        <w:jc w:val="center"/>
      </w:pPr>
      <w:r>
        <w:rPr>
          <w:rFonts w:ascii="宋体" w:hAnsi="宋体" w:eastAsia="宋体"/>
          <w:b/>
          <w:sz w:val="21"/>
        </w:rPr>
        <w:t>表1  主要符号说明</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3135"/>
        <w:gridCol w:w="3135"/>
        <w:gridCol w:w="3135"/>
      </w:tblGrid>
      <w:tr w14:paraId="2A470692">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tcBorders>
              <w:bottom w:val="single" w:color="000000" w:sz="6" w:space="0"/>
            </w:tcBorders>
            <w:vAlign w:val="center"/>
          </w:tcPr>
          <w:p w14:paraId="4B5876B5">
            <w:pPr>
              <w:spacing w:before="0" w:after="0"/>
              <w:jc w:val="center"/>
            </w:pPr>
            <w:r>
              <w:rPr>
                <w:rFonts w:ascii="宋体" w:hAnsi="宋体" w:eastAsia="宋体"/>
                <w:b/>
                <w:sz w:val="21"/>
              </w:rPr>
              <w:t>符号</w:t>
            </w:r>
          </w:p>
        </w:tc>
        <w:tc>
          <w:tcPr>
            <w:tcW w:w="3135" w:type="dxa"/>
            <w:tcBorders>
              <w:bottom w:val="single" w:color="000000" w:sz="6" w:space="0"/>
            </w:tcBorders>
            <w:vAlign w:val="center"/>
          </w:tcPr>
          <w:p w14:paraId="64F0A232">
            <w:pPr>
              <w:spacing w:before="0" w:after="0"/>
              <w:jc w:val="center"/>
            </w:pPr>
            <w:r>
              <w:rPr>
                <w:rFonts w:ascii="宋体" w:hAnsi="宋体" w:eastAsia="宋体"/>
                <w:b/>
                <w:sz w:val="21"/>
              </w:rPr>
              <w:t>含义</w:t>
            </w:r>
          </w:p>
        </w:tc>
        <w:tc>
          <w:tcPr>
            <w:tcW w:w="3135" w:type="dxa"/>
            <w:tcBorders>
              <w:bottom w:val="single" w:color="000000" w:sz="6" w:space="0"/>
            </w:tcBorders>
            <w:vAlign w:val="center"/>
          </w:tcPr>
          <w:p w14:paraId="3CC42863">
            <w:pPr>
              <w:spacing w:before="0" w:after="0"/>
              <w:jc w:val="center"/>
            </w:pPr>
            <w:r>
              <w:rPr>
                <w:rFonts w:ascii="宋体" w:hAnsi="宋体" w:eastAsia="宋体"/>
                <w:b/>
                <w:sz w:val="21"/>
              </w:rPr>
              <w:t>取值/单位</w:t>
            </w:r>
          </w:p>
        </w:tc>
      </w:tr>
      <w:tr w14:paraId="3839A42F">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6B750133">
            <w:pPr>
              <w:spacing w:before="0" w:after="0"/>
              <w:jc w:val="center"/>
            </w:pPr>
            <w:r>
              <w:rPr>
                <w:rFonts w:ascii="Times New Roman" w:hAnsi="Times New Roman"/>
                <w:sz w:val="21"/>
              </w:rPr>
              <w:t>N_S(t), N_M(t), N_D(t)</w:t>
            </w:r>
          </w:p>
        </w:tc>
        <w:tc>
          <w:tcPr>
            <w:tcW w:w="3135" w:type="dxa"/>
            <w:vAlign w:val="center"/>
          </w:tcPr>
          <w:p w14:paraId="4C2A7D4E">
            <w:pPr>
              <w:spacing w:before="0" w:after="0"/>
              <w:jc w:val="center"/>
            </w:pPr>
            <w:r>
              <w:rPr>
                <w:rFonts w:ascii="Times New Roman" w:hAnsi="Times New Roman"/>
                <w:sz w:val="21"/>
              </w:rPr>
              <w:t>t年自理/半失能/失能老人数</w:t>
            </w:r>
          </w:p>
        </w:tc>
        <w:tc>
          <w:tcPr>
            <w:tcW w:w="3135" w:type="dxa"/>
            <w:vAlign w:val="center"/>
          </w:tcPr>
          <w:p w14:paraId="5492578F">
            <w:pPr>
              <w:spacing w:before="0" w:after="0"/>
              <w:jc w:val="center"/>
            </w:pPr>
            <w:r>
              <w:rPr>
                <w:rFonts w:ascii="宋体" w:hAnsi="宋体" w:eastAsia="宋体"/>
                <w:sz w:val="21"/>
              </w:rPr>
              <w:t>人</w:t>
            </w:r>
          </w:p>
        </w:tc>
      </w:tr>
      <w:tr w14:paraId="4FD0E655">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605C3506">
            <w:pPr>
              <w:spacing w:before="0" w:after="0"/>
              <w:jc w:val="center"/>
            </w:pPr>
            <w:r>
              <w:rPr>
                <w:rFonts w:ascii="宋体" w:hAnsi="宋体" w:eastAsia="宋体"/>
                <w:sz w:val="21"/>
              </w:rPr>
              <w:t>γ</w:t>
            </w:r>
          </w:p>
        </w:tc>
        <w:tc>
          <w:tcPr>
            <w:tcW w:w="3135" w:type="dxa"/>
            <w:vAlign w:val="center"/>
          </w:tcPr>
          <w:p w14:paraId="07EE932D">
            <w:pPr>
              <w:spacing w:before="0" w:after="0"/>
              <w:jc w:val="center"/>
            </w:pPr>
            <w:r>
              <w:rPr>
                <w:rFonts w:ascii="宋体" w:hAnsi="宋体" w:eastAsia="宋体"/>
                <w:sz w:val="21"/>
              </w:rPr>
              <w:t>年新增60岁老人率</w:t>
            </w:r>
          </w:p>
        </w:tc>
        <w:tc>
          <w:tcPr>
            <w:tcW w:w="3135" w:type="dxa"/>
            <w:vAlign w:val="center"/>
          </w:tcPr>
          <w:p w14:paraId="1E567D84">
            <w:pPr>
              <w:spacing w:before="0" w:after="0"/>
              <w:jc w:val="center"/>
            </w:pPr>
            <w:r>
              <w:rPr>
                <w:rFonts w:ascii="宋体" w:hAnsi="宋体" w:eastAsia="宋体"/>
                <w:sz w:val="21"/>
              </w:rPr>
              <w:t>7%</w:t>
            </w:r>
          </w:p>
        </w:tc>
      </w:tr>
      <w:tr w14:paraId="0BA4EDB4">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732355DA">
            <w:pPr>
              <w:spacing w:before="0" w:after="0"/>
              <w:jc w:val="center"/>
            </w:pPr>
            <w:r>
              <w:rPr>
                <w:rFonts w:ascii="Times New Roman" w:hAnsi="Times New Roman"/>
                <w:sz w:val="21"/>
              </w:rPr>
              <w:t>p_{S→M}</w:t>
            </w:r>
          </w:p>
        </w:tc>
        <w:tc>
          <w:tcPr>
            <w:tcW w:w="3135" w:type="dxa"/>
            <w:vAlign w:val="center"/>
          </w:tcPr>
          <w:p w14:paraId="463D8C4B">
            <w:pPr>
              <w:spacing w:before="0" w:after="0"/>
              <w:jc w:val="center"/>
            </w:pPr>
            <w:r>
              <w:rPr>
                <w:rFonts w:ascii="宋体" w:hAnsi="宋体" w:eastAsia="宋体"/>
                <w:sz w:val="21"/>
              </w:rPr>
              <w:t>自理→半失能年转移概率</w:t>
            </w:r>
          </w:p>
        </w:tc>
        <w:tc>
          <w:tcPr>
            <w:tcW w:w="3135" w:type="dxa"/>
            <w:vAlign w:val="center"/>
          </w:tcPr>
          <w:p w14:paraId="08414E70">
            <w:pPr>
              <w:spacing w:before="0" w:after="0"/>
              <w:jc w:val="center"/>
            </w:pPr>
            <w:r>
              <w:rPr>
                <w:rFonts w:ascii="宋体" w:hAnsi="宋体" w:eastAsia="宋体"/>
                <w:sz w:val="21"/>
              </w:rPr>
              <w:t>4.5%</w:t>
            </w:r>
          </w:p>
        </w:tc>
      </w:tr>
      <w:tr w14:paraId="77FC4B10">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046B1920">
            <w:pPr>
              <w:spacing w:before="0" w:after="0"/>
              <w:jc w:val="center"/>
            </w:pPr>
            <w:r>
              <w:rPr>
                <w:rFonts w:ascii="Times New Roman" w:hAnsi="Times New Roman"/>
                <w:sz w:val="21"/>
              </w:rPr>
              <w:t>p_{M→D}</w:t>
            </w:r>
          </w:p>
        </w:tc>
        <w:tc>
          <w:tcPr>
            <w:tcW w:w="3135" w:type="dxa"/>
            <w:vAlign w:val="center"/>
          </w:tcPr>
          <w:p w14:paraId="39045D05">
            <w:pPr>
              <w:spacing w:before="0" w:after="0"/>
              <w:jc w:val="center"/>
            </w:pPr>
            <w:r>
              <w:rPr>
                <w:rFonts w:ascii="宋体" w:hAnsi="宋体" w:eastAsia="宋体"/>
                <w:sz w:val="21"/>
              </w:rPr>
              <w:t>半失能→失能年转移概率</w:t>
            </w:r>
          </w:p>
        </w:tc>
        <w:tc>
          <w:tcPr>
            <w:tcW w:w="3135" w:type="dxa"/>
            <w:vAlign w:val="center"/>
          </w:tcPr>
          <w:p w14:paraId="7AE20BCB">
            <w:pPr>
              <w:spacing w:before="0" w:after="0"/>
              <w:jc w:val="center"/>
            </w:pPr>
            <w:r>
              <w:rPr>
                <w:rFonts w:ascii="宋体" w:hAnsi="宋体" w:eastAsia="宋体"/>
                <w:sz w:val="21"/>
              </w:rPr>
              <w:t>10%</w:t>
            </w:r>
          </w:p>
        </w:tc>
      </w:tr>
      <w:tr w14:paraId="239BD40C">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5FDC428C">
            <w:pPr>
              <w:spacing w:before="0" w:after="0"/>
              <w:jc w:val="center"/>
            </w:pPr>
            <w:r>
              <w:rPr>
                <w:rFonts w:ascii="宋体" w:hAnsi="宋体" w:eastAsia="宋体"/>
                <w:sz w:val="21"/>
              </w:rPr>
              <w:t>δ</w:t>
            </w:r>
          </w:p>
        </w:tc>
        <w:tc>
          <w:tcPr>
            <w:tcW w:w="3135" w:type="dxa"/>
            <w:vAlign w:val="center"/>
          </w:tcPr>
          <w:p w14:paraId="754672DE">
            <w:pPr>
              <w:spacing w:before="0" w:after="0"/>
              <w:jc w:val="center"/>
            </w:pPr>
            <w:r>
              <w:rPr>
                <w:rFonts w:ascii="宋体" w:hAnsi="宋体" w:eastAsia="宋体"/>
                <w:sz w:val="21"/>
              </w:rPr>
              <w:t>年死亡率</w:t>
            </w:r>
          </w:p>
        </w:tc>
        <w:tc>
          <w:tcPr>
            <w:tcW w:w="3135" w:type="dxa"/>
            <w:vAlign w:val="center"/>
          </w:tcPr>
          <w:p w14:paraId="42A06438">
            <w:pPr>
              <w:spacing w:before="0" w:after="0"/>
              <w:jc w:val="center"/>
            </w:pPr>
            <w:r>
              <w:rPr>
                <w:rFonts w:ascii="宋体" w:hAnsi="宋体" w:eastAsia="宋体"/>
                <w:sz w:val="21"/>
              </w:rPr>
              <w:t>5%</w:t>
            </w:r>
          </w:p>
        </w:tc>
      </w:tr>
      <w:tr w14:paraId="5555F92B">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146BFE28">
            <w:pPr>
              <w:spacing w:before="0" w:after="0"/>
              <w:jc w:val="center"/>
            </w:pPr>
            <w:r>
              <w:rPr>
                <w:rFonts w:ascii="Times New Roman" w:hAnsi="Times New Roman"/>
                <w:sz w:val="21"/>
              </w:rPr>
              <w:t>T</w:t>
            </w:r>
          </w:p>
        </w:tc>
        <w:tc>
          <w:tcPr>
            <w:tcW w:w="3135" w:type="dxa"/>
            <w:vAlign w:val="center"/>
          </w:tcPr>
          <w:p w14:paraId="49C12243">
            <w:pPr>
              <w:spacing w:before="0" w:after="0"/>
              <w:jc w:val="center"/>
            </w:pPr>
            <w:r>
              <w:rPr>
                <w:rFonts w:ascii="宋体" w:hAnsi="宋体" w:eastAsia="宋体"/>
                <w:sz w:val="21"/>
              </w:rPr>
              <w:t>状态转移矩阵(3×3)</w:t>
            </w:r>
          </w:p>
        </w:tc>
        <w:tc>
          <w:tcPr>
            <w:tcW w:w="3135" w:type="dxa"/>
            <w:vAlign w:val="center"/>
          </w:tcPr>
          <w:p w14:paraId="22631F4B">
            <w:pPr>
              <w:spacing w:before="0" w:after="0"/>
              <w:jc w:val="center"/>
            </w:pPr>
            <w:r>
              <w:rPr>
                <w:rFonts w:ascii="宋体" w:hAnsi="宋体" w:eastAsia="宋体"/>
                <w:sz w:val="21"/>
              </w:rPr>
              <w:t>—</w:t>
            </w:r>
          </w:p>
        </w:tc>
      </w:tr>
      <w:tr w14:paraId="15514808">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4B16E87F">
            <w:pPr>
              <w:spacing w:before="0" w:after="0"/>
              <w:jc w:val="center"/>
            </w:pPr>
            <w:r>
              <w:rPr>
                <w:rFonts w:ascii="Times New Roman" w:hAnsi="Times New Roman"/>
                <w:sz w:val="21"/>
              </w:rPr>
              <w:t>λ_i</w:t>
            </w:r>
          </w:p>
        </w:tc>
        <w:tc>
          <w:tcPr>
            <w:tcW w:w="3135" w:type="dxa"/>
            <w:vAlign w:val="center"/>
          </w:tcPr>
          <w:p w14:paraId="6EBD0B65">
            <w:pPr>
              <w:spacing w:before="0" w:after="0"/>
              <w:jc w:val="center"/>
            </w:pPr>
            <w:r>
              <w:rPr>
                <w:rFonts w:ascii="宋体" w:hAnsi="宋体" w:eastAsia="宋体"/>
                <w:sz w:val="21"/>
              </w:rPr>
              <w:t>转移矩阵特征值</w:t>
            </w:r>
          </w:p>
        </w:tc>
        <w:tc>
          <w:tcPr>
            <w:tcW w:w="3135" w:type="dxa"/>
            <w:vAlign w:val="center"/>
          </w:tcPr>
          <w:p w14:paraId="13505954">
            <w:pPr>
              <w:spacing w:before="0" w:after="0"/>
              <w:jc w:val="center"/>
            </w:pPr>
            <w:r>
              <w:rPr>
                <w:rFonts w:ascii="Times New Roman" w:hAnsi="Times New Roman"/>
                <w:sz w:val="21"/>
              </w:rPr>
              <w:t>i=1,2,3</w:t>
            </w:r>
          </w:p>
        </w:tc>
      </w:tr>
      <w:tr w14:paraId="7E7DC404">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7757F8BC">
            <w:pPr>
              <w:spacing w:before="0" w:after="0"/>
              <w:jc w:val="center"/>
            </w:pPr>
            <w:r>
              <w:rPr>
                <w:rFonts w:ascii="Times New Roman" w:hAnsi="Times New Roman"/>
                <w:sz w:val="21"/>
              </w:rPr>
              <w:t>I_i</w:t>
            </w:r>
          </w:p>
        </w:tc>
        <w:tc>
          <w:tcPr>
            <w:tcW w:w="3135" w:type="dxa"/>
            <w:vAlign w:val="center"/>
          </w:tcPr>
          <w:p w14:paraId="3AFDF664">
            <w:pPr>
              <w:spacing w:before="0" w:after="0"/>
              <w:jc w:val="center"/>
            </w:pPr>
            <w:r>
              <w:rPr>
                <w:rFonts w:ascii="Times New Roman" w:hAnsi="Times New Roman"/>
                <w:sz w:val="21"/>
              </w:rPr>
              <w:t>小区i月人均收入</w:t>
            </w:r>
          </w:p>
        </w:tc>
        <w:tc>
          <w:tcPr>
            <w:tcW w:w="3135" w:type="dxa"/>
            <w:vAlign w:val="center"/>
          </w:tcPr>
          <w:p w14:paraId="56AB22E0">
            <w:pPr>
              <w:spacing w:before="0" w:after="0"/>
              <w:jc w:val="center"/>
            </w:pPr>
            <w:r>
              <w:rPr>
                <w:rFonts w:ascii="宋体" w:hAnsi="宋体" w:eastAsia="宋体"/>
                <w:sz w:val="21"/>
              </w:rPr>
              <w:t>元</w:t>
            </w:r>
          </w:p>
        </w:tc>
      </w:tr>
      <w:tr w14:paraId="57AD1FCF">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4CA7AC38">
            <w:pPr>
              <w:spacing w:before="0" w:after="0"/>
              <w:jc w:val="center"/>
            </w:pPr>
            <w:r>
              <w:rPr>
                <w:rFonts w:ascii="Times New Roman" w:hAnsi="Times New Roman"/>
                <w:sz w:val="21"/>
              </w:rPr>
              <w:t>α_{i,c}</w:t>
            </w:r>
          </w:p>
        </w:tc>
        <w:tc>
          <w:tcPr>
            <w:tcW w:w="3135" w:type="dxa"/>
            <w:vAlign w:val="center"/>
          </w:tcPr>
          <w:p w14:paraId="3BF7CDCD">
            <w:pPr>
              <w:spacing w:before="0" w:after="0"/>
              <w:jc w:val="center"/>
            </w:pPr>
            <w:r>
              <w:rPr>
                <w:rFonts w:ascii="Times New Roman" w:hAnsi="Times New Roman"/>
                <w:sz w:val="21"/>
              </w:rPr>
              <w:t>小区i类别c老人消费缩放因子</w:t>
            </w:r>
          </w:p>
        </w:tc>
        <w:tc>
          <w:tcPr>
            <w:tcW w:w="3135" w:type="dxa"/>
            <w:vAlign w:val="center"/>
          </w:tcPr>
          <w:p w14:paraId="2C2B3C95">
            <w:pPr>
              <w:spacing w:before="0" w:after="0"/>
              <w:jc w:val="center"/>
            </w:pPr>
            <w:r>
              <w:rPr>
                <w:rFonts w:ascii="宋体" w:hAnsi="宋体" w:eastAsia="宋体"/>
                <w:sz w:val="21"/>
              </w:rPr>
              <w:t>[0,1]</w:t>
            </w:r>
          </w:p>
        </w:tc>
      </w:tr>
      <w:tr w14:paraId="58BBF88B">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286E0328">
            <w:pPr>
              <w:spacing w:before="0" w:after="0"/>
              <w:jc w:val="center"/>
            </w:pPr>
            <w:r>
              <w:rPr>
                <w:rFonts w:ascii="Times New Roman" w:hAnsi="Times New Roman"/>
                <w:sz w:val="21"/>
              </w:rPr>
              <w:t>r_c</w:t>
            </w:r>
          </w:p>
        </w:tc>
        <w:tc>
          <w:tcPr>
            <w:tcW w:w="3135" w:type="dxa"/>
            <w:vAlign w:val="center"/>
          </w:tcPr>
          <w:p w14:paraId="19A97DC8">
            <w:pPr>
              <w:spacing w:before="0" w:after="0"/>
              <w:jc w:val="center"/>
            </w:pPr>
            <w:r>
              <w:rPr>
                <w:rFonts w:ascii="Times New Roman" w:hAnsi="Times New Roman"/>
                <w:sz w:val="21"/>
              </w:rPr>
              <w:t>类别c消费上限比例</w:t>
            </w:r>
          </w:p>
        </w:tc>
        <w:tc>
          <w:tcPr>
            <w:tcW w:w="3135" w:type="dxa"/>
            <w:vAlign w:val="center"/>
          </w:tcPr>
          <w:p w14:paraId="520B3D5C">
            <w:pPr>
              <w:spacing w:before="0" w:after="0"/>
              <w:jc w:val="center"/>
            </w:pPr>
            <w:r>
              <w:rPr>
                <w:rFonts w:ascii="宋体" w:hAnsi="宋体" w:eastAsia="宋体"/>
                <w:sz w:val="21"/>
              </w:rPr>
              <w:t>20%/25%/30%</w:t>
            </w:r>
          </w:p>
        </w:tc>
      </w:tr>
      <w:tr w14:paraId="49199DD8">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5703B417">
            <w:pPr>
              <w:spacing w:before="0" w:after="0"/>
              <w:jc w:val="center"/>
            </w:pPr>
            <w:r>
              <w:rPr>
                <w:rFonts w:ascii="Times New Roman" w:hAnsi="Times New Roman"/>
                <w:sz w:val="21"/>
              </w:rPr>
              <w:t>d_{ij}</w:t>
            </w:r>
          </w:p>
        </w:tc>
        <w:tc>
          <w:tcPr>
            <w:tcW w:w="3135" w:type="dxa"/>
            <w:vAlign w:val="center"/>
          </w:tcPr>
          <w:p w14:paraId="455713D7">
            <w:pPr>
              <w:spacing w:before="0" w:after="0"/>
              <w:jc w:val="center"/>
            </w:pPr>
            <w:r>
              <w:rPr>
                <w:rFonts w:ascii="Times New Roman" w:hAnsi="Times New Roman"/>
                <w:sz w:val="21"/>
              </w:rPr>
              <w:t>小区i到站点j距离</w:t>
            </w:r>
          </w:p>
        </w:tc>
        <w:tc>
          <w:tcPr>
            <w:tcW w:w="3135" w:type="dxa"/>
            <w:vAlign w:val="center"/>
          </w:tcPr>
          <w:p w14:paraId="313D8010">
            <w:pPr>
              <w:spacing w:before="0" w:after="0"/>
              <w:jc w:val="center"/>
            </w:pPr>
            <w:r>
              <w:rPr>
                <w:rFonts w:ascii="Times New Roman" w:hAnsi="Times New Roman"/>
                <w:sz w:val="21"/>
              </w:rPr>
              <w:t>m</w:t>
            </w:r>
          </w:p>
        </w:tc>
      </w:tr>
      <w:tr w14:paraId="540ACA8C">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2CDE4DD4">
            <w:pPr>
              <w:spacing w:before="0" w:after="0"/>
              <w:jc w:val="center"/>
            </w:pPr>
            <w:r>
              <w:rPr>
                <w:rFonts w:ascii="Times New Roman" w:hAnsi="Times New Roman"/>
                <w:sz w:val="21"/>
              </w:rPr>
              <w:t>S1, S2, S3</w:t>
            </w:r>
          </w:p>
        </w:tc>
        <w:tc>
          <w:tcPr>
            <w:tcW w:w="3135" w:type="dxa"/>
            <w:vAlign w:val="center"/>
          </w:tcPr>
          <w:p w14:paraId="79604D97">
            <w:pPr>
              <w:spacing w:before="0" w:after="0"/>
              <w:jc w:val="center"/>
            </w:pPr>
            <w:r>
              <w:rPr>
                <w:rFonts w:ascii="宋体" w:hAnsi="宋体" w:eastAsia="宋体"/>
                <w:sz w:val="21"/>
              </w:rPr>
              <w:t>距离/拥挤/价格满意度</w:t>
            </w:r>
          </w:p>
        </w:tc>
        <w:tc>
          <w:tcPr>
            <w:tcW w:w="3135" w:type="dxa"/>
            <w:vAlign w:val="center"/>
          </w:tcPr>
          <w:p w14:paraId="6843AA83">
            <w:pPr>
              <w:spacing w:before="0" w:after="0"/>
              <w:jc w:val="center"/>
            </w:pPr>
            <w:r>
              <w:rPr>
                <w:rFonts w:ascii="宋体" w:hAnsi="宋体" w:eastAsia="宋体"/>
                <w:sz w:val="21"/>
              </w:rPr>
              <w:t>[0.6,1.0]</w:t>
            </w:r>
          </w:p>
        </w:tc>
      </w:tr>
      <w:tr w14:paraId="72CDF587">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5886BE36">
            <w:pPr>
              <w:spacing w:before="0" w:after="0"/>
              <w:jc w:val="center"/>
            </w:pPr>
            <w:r>
              <w:rPr>
                <w:rFonts w:ascii="Times New Roman" w:hAnsi="Times New Roman"/>
                <w:sz w:val="21"/>
              </w:rPr>
              <w:t>S</w:t>
            </w:r>
          </w:p>
        </w:tc>
        <w:tc>
          <w:tcPr>
            <w:tcW w:w="3135" w:type="dxa"/>
            <w:vAlign w:val="center"/>
          </w:tcPr>
          <w:p w14:paraId="46E81764">
            <w:pPr>
              <w:spacing w:before="0" w:after="0"/>
              <w:jc w:val="center"/>
            </w:pPr>
            <w:r>
              <w:rPr>
                <w:rFonts w:ascii="Times New Roman" w:hAnsi="Times New Roman"/>
                <w:sz w:val="21"/>
              </w:rPr>
              <w:t>综合满意度=0.2S1+0.3S2+0.5S3</w:t>
            </w:r>
          </w:p>
        </w:tc>
        <w:tc>
          <w:tcPr>
            <w:tcW w:w="3135" w:type="dxa"/>
            <w:vAlign w:val="center"/>
          </w:tcPr>
          <w:p w14:paraId="7696312F">
            <w:pPr>
              <w:spacing w:before="0" w:after="0"/>
              <w:jc w:val="center"/>
            </w:pPr>
            <w:r>
              <w:rPr>
                <w:rFonts w:ascii="宋体" w:hAnsi="宋体" w:eastAsia="宋体"/>
                <w:sz w:val="21"/>
              </w:rPr>
              <w:t>[0.6,1.0]</w:t>
            </w:r>
          </w:p>
        </w:tc>
      </w:tr>
      <w:tr w14:paraId="2BE84592">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0DC9245E">
            <w:pPr>
              <w:spacing w:before="0" w:after="0"/>
              <w:jc w:val="center"/>
            </w:pPr>
            <w:r>
              <w:rPr>
                <w:rFonts w:ascii="Times New Roman" w:hAnsi="Times New Roman"/>
                <w:sz w:val="21"/>
              </w:rPr>
              <w:t>x_j</w:t>
            </w:r>
          </w:p>
        </w:tc>
        <w:tc>
          <w:tcPr>
            <w:tcW w:w="3135" w:type="dxa"/>
            <w:vAlign w:val="center"/>
          </w:tcPr>
          <w:p w14:paraId="3A3E8F93">
            <w:pPr>
              <w:spacing w:before="0" w:after="0"/>
              <w:jc w:val="center"/>
            </w:pPr>
            <w:r>
              <w:rPr>
                <w:rFonts w:ascii="Times New Roman" w:hAnsi="Times New Roman"/>
                <w:sz w:val="21"/>
              </w:rPr>
              <w:t>站点j是否建设(0-1决策变量)</w:t>
            </w:r>
          </w:p>
        </w:tc>
        <w:tc>
          <w:tcPr>
            <w:tcW w:w="3135" w:type="dxa"/>
            <w:vAlign w:val="center"/>
          </w:tcPr>
          <w:p w14:paraId="6D551478">
            <w:pPr>
              <w:spacing w:before="0" w:after="0"/>
              <w:jc w:val="center"/>
            </w:pPr>
            <w:r>
              <w:rPr>
                <w:rFonts w:ascii="宋体" w:hAnsi="宋体" w:eastAsia="宋体"/>
                <w:sz w:val="21"/>
              </w:rPr>
              <w:t>{0,1}</w:t>
            </w:r>
          </w:p>
        </w:tc>
      </w:tr>
      <w:tr w14:paraId="19115C5C">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1408D520">
            <w:pPr>
              <w:spacing w:before="0" w:after="0"/>
              <w:jc w:val="center"/>
            </w:pPr>
            <w:r>
              <w:rPr>
                <w:rFonts w:ascii="Times New Roman" w:hAnsi="Times New Roman"/>
                <w:sz w:val="21"/>
              </w:rPr>
              <w:t>y_j</w:t>
            </w:r>
          </w:p>
        </w:tc>
        <w:tc>
          <w:tcPr>
            <w:tcW w:w="3135" w:type="dxa"/>
            <w:vAlign w:val="center"/>
          </w:tcPr>
          <w:p w14:paraId="03CC1EB2">
            <w:pPr>
              <w:spacing w:before="0" w:after="0"/>
              <w:jc w:val="center"/>
            </w:pPr>
            <w:r>
              <w:rPr>
                <w:rFonts w:ascii="Times New Roman" w:hAnsi="Times New Roman"/>
                <w:sz w:val="21"/>
              </w:rPr>
              <w:t>站点j规模(小/中/大)</w:t>
            </w:r>
          </w:p>
        </w:tc>
        <w:tc>
          <w:tcPr>
            <w:tcW w:w="3135" w:type="dxa"/>
            <w:vAlign w:val="center"/>
          </w:tcPr>
          <w:p w14:paraId="5BE3BE36">
            <w:pPr>
              <w:spacing w:before="0" w:after="0"/>
              <w:jc w:val="center"/>
            </w:pPr>
            <w:r>
              <w:rPr>
                <w:rFonts w:ascii="宋体" w:hAnsi="宋体" w:eastAsia="宋体"/>
                <w:sz w:val="21"/>
              </w:rPr>
              <w:t>{1,2,3}</w:t>
            </w:r>
          </w:p>
        </w:tc>
      </w:tr>
      <w:tr w14:paraId="1A01AA49">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2ECDF5A0">
            <w:pPr>
              <w:spacing w:before="0" w:after="0"/>
              <w:jc w:val="center"/>
            </w:pPr>
            <w:r>
              <w:rPr>
                <w:rFonts w:ascii="Times New Roman" w:hAnsi="Times New Roman"/>
                <w:sz w:val="21"/>
              </w:rPr>
              <w:t>Q_j</w:t>
            </w:r>
          </w:p>
        </w:tc>
        <w:tc>
          <w:tcPr>
            <w:tcW w:w="3135" w:type="dxa"/>
            <w:vAlign w:val="center"/>
          </w:tcPr>
          <w:p w14:paraId="6B63528A">
            <w:pPr>
              <w:spacing w:before="0" w:after="0"/>
              <w:jc w:val="center"/>
            </w:pPr>
            <w:r>
              <w:rPr>
                <w:rFonts w:ascii="Times New Roman" w:hAnsi="Times New Roman"/>
                <w:sz w:val="21"/>
              </w:rPr>
              <w:t>站点j设计日容量</w:t>
            </w:r>
          </w:p>
        </w:tc>
        <w:tc>
          <w:tcPr>
            <w:tcW w:w="3135" w:type="dxa"/>
            <w:vAlign w:val="center"/>
          </w:tcPr>
          <w:p w14:paraId="2C4F44E7">
            <w:pPr>
              <w:spacing w:before="0" w:after="0"/>
              <w:jc w:val="center"/>
            </w:pPr>
            <w:r>
              <w:rPr>
                <w:rFonts w:ascii="宋体" w:hAnsi="宋体" w:eastAsia="宋体"/>
                <w:sz w:val="21"/>
              </w:rPr>
              <w:t>人次/日</w:t>
            </w:r>
          </w:p>
        </w:tc>
      </w:tr>
      <w:tr w14:paraId="16ED51E3">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1C1B60F8">
            <w:pPr>
              <w:spacing w:before="0" w:after="0"/>
              <w:jc w:val="center"/>
            </w:pPr>
            <w:r>
              <w:rPr>
                <w:rFonts w:ascii="Times New Roman" w:hAnsi="Times New Roman"/>
                <w:sz w:val="21"/>
              </w:rPr>
              <w:t>ρ_j</w:t>
            </w:r>
          </w:p>
        </w:tc>
        <w:tc>
          <w:tcPr>
            <w:tcW w:w="3135" w:type="dxa"/>
            <w:vAlign w:val="center"/>
          </w:tcPr>
          <w:p w14:paraId="3515086D">
            <w:pPr>
              <w:spacing w:before="0" w:after="0"/>
              <w:jc w:val="center"/>
            </w:pPr>
            <w:r>
              <w:rPr>
                <w:rFonts w:ascii="Times New Roman" w:hAnsi="Times New Roman"/>
                <w:sz w:val="21"/>
              </w:rPr>
              <w:t>站点j利用率</w:t>
            </w:r>
          </w:p>
        </w:tc>
        <w:tc>
          <w:tcPr>
            <w:tcW w:w="3135" w:type="dxa"/>
            <w:vAlign w:val="center"/>
          </w:tcPr>
          <w:p w14:paraId="30878310">
            <w:pPr>
              <w:spacing w:before="0" w:after="0"/>
              <w:jc w:val="center"/>
            </w:pPr>
            <w:r>
              <w:rPr>
                <w:rFonts w:ascii="宋体" w:hAnsi="宋体" w:eastAsia="宋体"/>
                <w:sz w:val="21"/>
              </w:rPr>
              <w:t>[0,1]</w:t>
            </w:r>
          </w:p>
        </w:tc>
      </w:tr>
      <w:tr w14:paraId="02C715C0">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78276170">
            <w:pPr>
              <w:spacing w:before="0" w:after="0"/>
              <w:jc w:val="center"/>
            </w:pPr>
            <w:r>
              <w:rPr>
                <w:rFonts w:ascii="Times New Roman" w:hAnsi="Times New Roman"/>
                <w:sz w:val="21"/>
              </w:rPr>
              <w:t>B</w:t>
            </w:r>
          </w:p>
        </w:tc>
        <w:tc>
          <w:tcPr>
            <w:tcW w:w="3135" w:type="dxa"/>
            <w:vAlign w:val="center"/>
          </w:tcPr>
          <w:p w14:paraId="42092FDC">
            <w:pPr>
              <w:spacing w:before="0" w:after="0"/>
              <w:jc w:val="center"/>
            </w:pPr>
            <w:r>
              <w:rPr>
                <w:rFonts w:ascii="宋体" w:hAnsi="宋体" w:eastAsia="宋体"/>
                <w:sz w:val="21"/>
              </w:rPr>
              <w:t>总建设预算上限</w:t>
            </w:r>
          </w:p>
        </w:tc>
        <w:tc>
          <w:tcPr>
            <w:tcW w:w="3135" w:type="dxa"/>
            <w:vAlign w:val="center"/>
          </w:tcPr>
          <w:p w14:paraId="2BE7A85A">
            <w:pPr>
              <w:spacing w:before="0" w:after="0"/>
              <w:jc w:val="center"/>
            </w:pPr>
            <w:r>
              <w:rPr>
                <w:rFonts w:ascii="宋体" w:hAnsi="宋体" w:eastAsia="宋体"/>
                <w:sz w:val="21"/>
              </w:rPr>
              <w:t>120万元</w:t>
            </w:r>
          </w:p>
        </w:tc>
      </w:tr>
      <w:tr w14:paraId="203F3AAB">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41649BF3">
            <w:pPr>
              <w:spacing w:before="0" w:after="0"/>
              <w:jc w:val="center"/>
            </w:pPr>
            <w:r>
              <w:rPr>
                <w:rFonts w:ascii="Times New Roman" w:hAnsi="Times New Roman"/>
                <w:sz w:val="21"/>
              </w:rPr>
              <w:t>C(y_j)</w:t>
            </w:r>
          </w:p>
        </w:tc>
        <w:tc>
          <w:tcPr>
            <w:tcW w:w="3135" w:type="dxa"/>
            <w:vAlign w:val="center"/>
          </w:tcPr>
          <w:p w14:paraId="09826653">
            <w:pPr>
              <w:spacing w:before="0" w:after="0"/>
              <w:jc w:val="center"/>
            </w:pPr>
            <w:r>
              <w:rPr>
                <w:rFonts w:ascii="Times New Roman" w:hAnsi="Times New Roman"/>
                <w:sz w:val="21"/>
              </w:rPr>
              <w:t>规模y_j的建设费用函数</w:t>
            </w:r>
          </w:p>
        </w:tc>
        <w:tc>
          <w:tcPr>
            <w:tcW w:w="3135" w:type="dxa"/>
            <w:vAlign w:val="center"/>
          </w:tcPr>
          <w:p w14:paraId="79562041">
            <w:pPr>
              <w:spacing w:before="0" w:after="0"/>
              <w:jc w:val="center"/>
            </w:pPr>
            <w:r>
              <w:rPr>
                <w:rFonts w:ascii="宋体" w:hAnsi="宋体" w:eastAsia="宋体"/>
                <w:sz w:val="21"/>
              </w:rPr>
              <w:t>万元</w:t>
            </w:r>
          </w:p>
        </w:tc>
      </w:tr>
      <w:tr w14:paraId="62081891">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3135" w:type="dxa"/>
            <w:vAlign w:val="center"/>
          </w:tcPr>
          <w:p w14:paraId="1CE518F2">
            <w:pPr>
              <w:spacing w:before="0" w:after="0"/>
              <w:jc w:val="center"/>
            </w:pPr>
            <w:r>
              <w:rPr>
                <w:rFonts w:ascii="Times New Roman" w:hAnsi="Times New Roman"/>
                <w:sz w:val="21"/>
              </w:rPr>
              <w:t>s</w:t>
            </w:r>
          </w:p>
        </w:tc>
        <w:tc>
          <w:tcPr>
            <w:tcW w:w="3135" w:type="dxa"/>
            <w:vAlign w:val="center"/>
          </w:tcPr>
          <w:p w14:paraId="53F57001">
            <w:pPr>
              <w:spacing w:before="0" w:after="0"/>
              <w:jc w:val="center"/>
            </w:pPr>
            <w:r>
              <w:rPr>
                <w:rFonts w:ascii="宋体" w:hAnsi="宋体" w:eastAsia="宋体"/>
                <w:sz w:val="21"/>
              </w:rPr>
              <w:t>政府人次补贴</w:t>
            </w:r>
          </w:p>
        </w:tc>
        <w:tc>
          <w:tcPr>
            <w:tcW w:w="3135" w:type="dxa"/>
            <w:vAlign w:val="center"/>
          </w:tcPr>
          <w:p w14:paraId="2F07D9EB">
            <w:pPr>
              <w:spacing w:before="0" w:after="0"/>
              <w:jc w:val="center"/>
            </w:pPr>
            <w:r>
              <w:rPr>
                <w:rFonts w:ascii="宋体" w:hAnsi="宋体" w:eastAsia="宋体"/>
                <w:sz w:val="21"/>
              </w:rPr>
              <w:t>2元/人次</w:t>
            </w:r>
          </w:p>
        </w:tc>
      </w:tr>
    </w:tbl>
    <w:p w14:paraId="27611EE8">
      <w:pPr>
        <w:spacing w:before="160" w:after="60"/>
      </w:pPr>
      <w:r>
        <w:rPr>
          <w:rFonts w:ascii="黑体" w:hAnsi="黑体" w:eastAsia="黑体"/>
          <w:b/>
          <w:sz w:val="32"/>
        </w:rPr>
        <w:t>四、问题一：人口预测与服务需求</w:t>
      </w:r>
    </w:p>
    <w:p w14:paraId="6639D56D">
      <w:pPr>
        <w:spacing w:before="160" w:after="60"/>
      </w:pPr>
      <w:r>
        <w:rPr>
          <w:rFonts w:ascii="黑体" w:hAnsi="黑体" w:eastAsia="黑体"/>
          <w:b/>
          <w:sz w:val="28"/>
        </w:rPr>
        <w:t>4.1 Markov递推模型与特征值分析</w:t>
      </w:r>
    </w:p>
    <w:p w14:paraId="71C476EB">
      <w:pPr>
        <w:spacing w:line="360" w:lineRule="auto"/>
        <w:ind w:firstLine="480"/>
      </w:pPr>
      <w:r>
        <w:rPr>
          <w:rFonts w:ascii="Times New Roman" w:hAnsi="Times New Roman" w:eastAsia="宋体"/>
          <w:sz w:val="24"/>
        </w:rPr>
        <w:t>递推采用"新增→转移→死亡"时序：年初新增60岁老人（γ=7%，全入自理），年内状态转移，年末死亡（δ=5%）。参数依据中国老龄科学研究中心报告[9]及赛题附件给定。</w:t>
      </w:r>
    </w:p>
    <w:p w14:paraId="75DB9106">
      <w:pPr>
        <w:spacing w:line="360" w:lineRule="auto"/>
        <w:ind w:firstLine="480"/>
      </w:pPr>
      <w:r>
        <w:rPr>
          <w:rFonts w:ascii="Times New Roman" w:hAnsi="Times New Roman" w:eastAsia="宋体"/>
          <w:sz w:val="24"/>
        </w:rPr>
        <w:t>将转移-死亡过程写成矩阵形式：N(t)=T·N(t-1)+新增项，其中转移矩阵T为：</w:t>
      </w:r>
    </w:p>
    <w:p w14:paraId="666EABEC">
      <w:pPr>
        <w:jc w:val="center"/>
      </w:pPr>
      <w:r>
        <w:rPr>
          <w:rFonts w:ascii="Times New Roman" w:hAnsi="Times New Roman"/>
          <w:i/>
          <w:sz w:val="24"/>
        </w:rPr>
        <w:t>T = [[0.9073, 0, 0], [0.0428, 0.855, 0], [0, 0.095, 0.950]]</w:t>
      </w:r>
    </w:p>
    <w:p w14:paraId="3C25E62E">
      <w:pPr>
        <w:spacing w:line="360" w:lineRule="auto"/>
        <w:ind w:firstLine="480"/>
      </w:pPr>
      <w:r>
        <w:rPr>
          <w:rFonts w:ascii="Times New Roman" w:hAnsi="Times New Roman" w:eastAsia="宋体"/>
          <w:sz w:val="24"/>
        </w:rPr>
        <w:t>T的三个特征值为λ₁=0.950, λ₂=0.908, λ₃=0.855，均小于1——表明若无新增人口注入，老年群体将自然衰减。其中失能类别的衰减最慢（λ₁=0.950），在长期趋稳中将占据主导。加γ=7%的新增注入后有效增长率≈1.017，5年累积增长仅8.8%，而实际观测到总人口增长22%——13.3个百分点的差异源于初始分布偏离稳态（自理占比过高），属于结构调整的过渡性增量。说明半失能/失能比例尚未达到长期均衡，当前正处于人口结构加速恶化的"窗口期"，正是政策干预的最佳时机[11]。</w:t>
      </w:r>
    </w:p>
    <w:p w14:paraId="116359F0">
      <w:pPr>
        <w:jc w:val="center"/>
      </w:pPr>
      <w:r>
        <w:rPr>
          <w:rFonts w:ascii="Times New Roman" w:hAnsi="Times New Roman"/>
          <w:i/>
          <w:sz w:val="24"/>
        </w:rPr>
        <w:t>N_S(t) = [N_S(t−1) + γ·N_总(t−1)]·(1−p_{S→M})·(1−δ)</w:t>
      </w:r>
      <w:r>
        <w:rPr>
          <w:rFonts w:ascii="Times New Roman" w:hAnsi="Times New Roman"/>
          <w:sz w:val="24"/>
        </w:rPr>
        <w:t xml:space="preserve">    (1)</w:t>
      </w:r>
    </w:p>
    <w:p w14:paraId="5C31713A">
      <w:pPr>
        <w:jc w:val="center"/>
      </w:pPr>
      <w:r>
        <w:rPr>
          <w:rFonts w:ascii="Times New Roman" w:hAnsi="Times New Roman"/>
          <w:i/>
          <w:sz w:val="24"/>
        </w:rPr>
        <w:t>N_M(t) = [N_M(t−1) + N_S(t−1)·p_{S→M}]·(1−p_{M→D})·(1−δ)</w:t>
      </w:r>
      <w:r>
        <w:rPr>
          <w:rFonts w:ascii="Times New Roman" w:hAnsi="Times New Roman"/>
          <w:sz w:val="24"/>
        </w:rPr>
        <w:t xml:space="preserve">    (2)</w:t>
      </w:r>
    </w:p>
    <w:p w14:paraId="1F71C646">
      <w:pPr>
        <w:jc w:val="center"/>
      </w:pPr>
      <w:r>
        <w:rPr>
          <w:rFonts w:ascii="Times New Roman" w:hAnsi="Times New Roman"/>
          <w:i/>
          <w:sz w:val="24"/>
        </w:rPr>
        <w:t>N_D(t) = [N_D(t−1) + N_M(t−1)·p_{M→D}]·(1−δ)</w:t>
      </w:r>
      <w:r>
        <w:rPr>
          <w:rFonts w:ascii="Times New Roman" w:hAnsi="Times New Roman"/>
          <w:sz w:val="24"/>
        </w:rPr>
        <w:t xml:space="preserve">    (3)</w:t>
      </w:r>
    </w:p>
    <w:p w14:paraId="40E1CFE7">
      <w:pPr>
        <w:spacing w:before="80"/>
        <w:jc w:val="center"/>
        <w:rPr>
          <w:rFonts w:ascii="宋体" w:hAnsi="宋体" w:eastAsia="宋体"/>
          <w:b/>
          <w:sz w:val="21"/>
        </w:rPr>
      </w:pPr>
    </w:p>
    <w:p w14:paraId="6669D74E">
      <w:pPr>
        <w:spacing w:before="80"/>
        <w:jc w:val="center"/>
      </w:pPr>
      <w:r>
        <w:rPr>
          <w:rFonts w:ascii="宋体" w:hAnsi="宋体" w:eastAsia="宋体"/>
          <w:b/>
          <w:sz w:val="21"/>
        </w:rPr>
        <w:t>表2  第5年末各小区老人数（人）</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1881"/>
        <w:gridCol w:w="1881"/>
        <w:gridCol w:w="1881"/>
        <w:gridCol w:w="1881"/>
        <w:gridCol w:w="1881"/>
      </w:tblGrid>
      <w:tr w14:paraId="40AF7154">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tcBorders>
              <w:bottom w:val="single" w:color="000000" w:sz="6" w:space="0"/>
            </w:tcBorders>
            <w:vAlign w:val="center"/>
          </w:tcPr>
          <w:p w14:paraId="416DDD92">
            <w:pPr>
              <w:spacing w:before="0" w:after="0"/>
              <w:jc w:val="center"/>
            </w:pPr>
            <w:r>
              <w:rPr>
                <w:rFonts w:ascii="宋体" w:hAnsi="宋体" w:eastAsia="宋体"/>
                <w:b/>
                <w:sz w:val="21"/>
              </w:rPr>
              <w:t>小区</w:t>
            </w:r>
          </w:p>
        </w:tc>
        <w:tc>
          <w:tcPr>
            <w:tcW w:w="1881" w:type="dxa"/>
            <w:tcBorders>
              <w:bottom w:val="single" w:color="000000" w:sz="6" w:space="0"/>
            </w:tcBorders>
            <w:vAlign w:val="center"/>
          </w:tcPr>
          <w:p w14:paraId="1F04DE53">
            <w:pPr>
              <w:spacing w:before="0" w:after="0"/>
              <w:jc w:val="center"/>
            </w:pPr>
            <w:r>
              <w:rPr>
                <w:rFonts w:ascii="宋体" w:hAnsi="宋体" w:eastAsia="宋体"/>
                <w:b/>
                <w:sz w:val="21"/>
              </w:rPr>
              <w:t>自理</w:t>
            </w:r>
          </w:p>
        </w:tc>
        <w:tc>
          <w:tcPr>
            <w:tcW w:w="1881" w:type="dxa"/>
            <w:tcBorders>
              <w:bottom w:val="single" w:color="000000" w:sz="6" w:space="0"/>
            </w:tcBorders>
            <w:vAlign w:val="center"/>
          </w:tcPr>
          <w:p w14:paraId="74A8B2C3">
            <w:pPr>
              <w:spacing w:before="0" w:after="0"/>
              <w:jc w:val="center"/>
            </w:pPr>
            <w:r>
              <w:rPr>
                <w:rFonts w:ascii="宋体" w:hAnsi="宋体" w:eastAsia="宋体"/>
                <w:b/>
                <w:sz w:val="21"/>
              </w:rPr>
              <w:t>半失能</w:t>
            </w:r>
          </w:p>
        </w:tc>
        <w:tc>
          <w:tcPr>
            <w:tcW w:w="1881" w:type="dxa"/>
            <w:tcBorders>
              <w:bottom w:val="single" w:color="000000" w:sz="6" w:space="0"/>
            </w:tcBorders>
            <w:vAlign w:val="center"/>
          </w:tcPr>
          <w:p w14:paraId="049D7DE6">
            <w:pPr>
              <w:spacing w:before="0" w:after="0"/>
              <w:jc w:val="center"/>
            </w:pPr>
            <w:r>
              <w:rPr>
                <w:rFonts w:ascii="宋体" w:hAnsi="宋体" w:eastAsia="宋体"/>
                <w:b/>
                <w:sz w:val="21"/>
              </w:rPr>
              <w:t>失能</w:t>
            </w:r>
          </w:p>
        </w:tc>
        <w:tc>
          <w:tcPr>
            <w:tcW w:w="1881" w:type="dxa"/>
            <w:tcBorders>
              <w:bottom w:val="single" w:color="000000" w:sz="6" w:space="0"/>
            </w:tcBorders>
            <w:vAlign w:val="center"/>
          </w:tcPr>
          <w:p w14:paraId="4F6FF73F">
            <w:pPr>
              <w:spacing w:before="0" w:after="0"/>
              <w:jc w:val="center"/>
            </w:pPr>
            <w:r>
              <w:rPr>
                <w:rFonts w:ascii="宋体" w:hAnsi="宋体" w:eastAsia="宋体"/>
                <w:b/>
                <w:sz w:val="21"/>
              </w:rPr>
              <w:t>合计</w:t>
            </w:r>
          </w:p>
        </w:tc>
      </w:tr>
      <w:tr w14:paraId="2C7AD867">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2ADA1A16">
            <w:pPr>
              <w:spacing w:before="0" w:after="0"/>
              <w:jc w:val="center"/>
            </w:pPr>
            <w:r>
              <w:rPr>
                <w:rFonts w:ascii="Times New Roman" w:hAnsi="Times New Roman"/>
                <w:sz w:val="21"/>
              </w:rPr>
              <w:t>A</w:t>
            </w:r>
          </w:p>
        </w:tc>
        <w:tc>
          <w:tcPr>
            <w:tcW w:w="1881" w:type="dxa"/>
            <w:vAlign w:val="center"/>
          </w:tcPr>
          <w:p w14:paraId="056F5067">
            <w:pPr>
              <w:spacing w:before="0" w:after="0"/>
              <w:jc w:val="center"/>
            </w:pPr>
            <w:r>
              <w:rPr>
                <w:rFonts w:ascii="宋体" w:hAnsi="宋体" w:eastAsia="宋体"/>
                <w:sz w:val="21"/>
              </w:rPr>
              <w:t>500</w:t>
            </w:r>
          </w:p>
        </w:tc>
        <w:tc>
          <w:tcPr>
            <w:tcW w:w="1881" w:type="dxa"/>
            <w:vAlign w:val="center"/>
          </w:tcPr>
          <w:p w14:paraId="6AE742C0">
            <w:pPr>
              <w:spacing w:before="0" w:after="0"/>
              <w:jc w:val="center"/>
            </w:pPr>
            <w:r>
              <w:rPr>
                <w:rFonts w:ascii="宋体" w:hAnsi="宋体" w:eastAsia="宋体"/>
                <w:sz w:val="21"/>
              </w:rPr>
              <w:t>157</w:t>
            </w:r>
          </w:p>
        </w:tc>
        <w:tc>
          <w:tcPr>
            <w:tcW w:w="1881" w:type="dxa"/>
            <w:vAlign w:val="center"/>
          </w:tcPr>
          <w:p w14:paraId="7159018E">
            <w:pPr>
              <w:spacing w:before="0" w:after="0"/>
              <w:jc w:val="center"/>
            </w:pPr>
            <w:r>
              <w:rPr>
                <w:rFonts w:ascii="宋体" w:hAnsi="宋体" w:eastAsia="宋体"/>
                <w:sz w:val="21"/>
              </w:rPr>
              <w:t>116</w:t>
            </w:r>
          </w:p>
        </w:tc>
        <w:tc>
          <w:tcPr>
            <w:tcW w:w="1881" w:type="dxa"/>
            <w:vAlign w:val="center"/>
          </w:tcPr>
          <w:p w14:paraId="5995A0F2">
            <w:pPr>
              <w:spacing w:before="0" w:after="0"/>
              <w:jc w:val="center"/>
            </w:pPr>
            <w:r>
              <w:rPr>
                <w:rFonts w:ascii="宋体" w:hAnsi="宋体" w:eastAsia="宋体"/>
                <w:sz w:val="21"/>
              </w:rPr>
              <w:t>773</w:t>
            </w:r>
          </w:p>
        </w:tc>
      </w:tr>
      <w:tr w14:paraId="6CFB60B3">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68FCE50E">
            <w:pPr>
              <w:spacing w:before="0" w:after="0"/>
              <w:jc w:val="center"/>
            </w:pPr>
            <w:r>
              <w:rPr>
                <w:rFonts w:ascii="Times New Roman" w:hAnsi="Times New Roman"/>
                <w:sz w:val="21"/>
              </w:rPr>
              <w:t>B</w:t>
            </w:r>
          </w:p>
        </w:tc>
        <w:tc>
          <w:tcPr>
            <w:tcW w:w="1881" w:type="dxa"/>
            <w:vAlign w:val="center"/>
          </w:tcPr>
          <w:p w14:paraId="78583BBC">
            <w:pPr>
              <w:spacing w:before="0" w:after="0"/>
              <w:jc w:val="center"/>
            </w:pPr>
            <w:r>
              <w:rPr>
                <w:rFonts w:ascii="宋体" w:hAnsi="宋体" w:eastAsia="宋体"/>
                <w:sz w:val="21"/>
              </w:rPr>
              <w:t>417</w:t>
            </w:r>
          </w:p>
        </w:tc>
        <w:tc>
          <w:tcPr>
            <w:tcW w:w="1881" w:type="dxa"/>
            <w:vAlign w:val="center"/>
          </w:tcPr>
          <w:p w14:paraId="13CEA89F">
            <w:pPr>
              <w:spacing w:before="0" w:after="0"/>
              <w:jc w:val="center"/>
            </w:pPr>
            <w:r>
              <w:rPr>
                <w:rFonts w:ascii="宋体" w:hAnsi="宋体" w:eastAsia="宋体"/>
                <w:sz w:val="21"/>
              </w:rPr>
              <w:t>135</w:t>
            </w:r>
          </w:p>
        </w:tc>
        <w:tc>
          <w:tcPr>
            <w:tcW w:w="1881" w:type="dxa"/>
            <w:vAlign w:val="center"/>
          </w:tcPr>
          <w:p w14:paraId="323BC6E0">
            <w:pPr>
              <w:spacing w:before="0" w:after="0"/>
              <w:jc w:val="center"/>
            </w:pPr>
            <w:r>
              <w:rPr>
                <w:rFonts w:ascii="宋体" w:hAnsi="宋体" w:eastAsia="宋体"/>
                <w:sz w:val="21"/>
              </w:rPr>
              <w:t>108</w:t>
            </w:r>
          </w:p>
        </w:tc>
        <w:tc>
          <w:tcPr>
            <w:tcW w:w="1881" w:type="dxa"/>
            <w:vAlign w:val="center"/>
          </w:tcPr>
          <w:p w14:paraId="1D46D3F5">
            <w:pPr>
              <w:spacing w:before="0" w:after="0"/>
              <w:jc w:val="center"/>
            </w:pPr>
            <w:r>
              <w:rPr>
                <w:rFonts w:ascii="宋体" w:hAnsi="宋体" w:eastAsia="宋体"/>
                <w:sz w:val="21"/>
              </w:rPr>
              <w:t>660</w:t>
            </w:r>
          </w:p>
        </w:tc>
      </w:tr>
      <w:tr w14:paraId="3EE8C702">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4AFCD0A7">
            <w:pPr>
              <w:spacing w:before="0" w:after="0"/>
              <w:jc w:val="center"/>
            </w:pPr>
            <w:r>
              <w:rPr>
                <w:rFonts w:ascii="Times New Roman" w:hAnsi="Times New Roman"/>
                <w:sz w:val="21"/>
              </w:rPr>
              <w:t>C</w:t>
            </w:r>
          </w:p>
        </w:tc>
        <w:tc>
          <w:tcPr>
            <w:tcW w:w="1881" w:type="dxa"/>
            <w:vAlign w:val="center"/>
          </w:tcPr>
          <w:p w14:paraId="7225AFD9">
            <w:pPr>
              <w:spacing w:before="0" w:after="0"/>
              <w:jc w:val="center"/>
            </w:pPr>
            <w:r>
              <w:rPr>
                <w:rFonts w:ascii="宋体" w:hAnsi="宋体" w:eastAsia="宋体"/>
                <w:sz w:val="21"/>
              </w:rPr>
              <w:t>640</w:t>
            </w:r>
          </w:p>
        </w:tc>
        <w:tc>
          <w:tcPr>
            <w:tcW w:w="1881" w:type="dxa"/>
            <w:vAlign w:val="center"/>
          </w:tcPr>
          <w:p w14:paraId="313E118C">
            <w:pPr>
              <w:spacing w:before="0" w:after="0"/>
              <w:jc w:val="center"/>
            </w:pPr>
            <w:r>
              <w:rPr>
                <w:rFonts w:ascii="宋体" w:hAnsi="宋体" w:eastAsia="宋体"/>
                <w:sz w:val="21"/>
              </w:rPr>
              <w:t>207</w:t>
            </w:r>
          </w:p>
        </w:tc>
        <w:tc>
          <w:tcPr>
            <w:tcW w:w="1881" w:type="dxa"/>
            <w:vAlign w:val="center"/>
          </w:tcPr>
          <w:p w14:paraId="22544279">
            <w:pPr>
              <w:spacing w:before="0" w:after="0"/>
              <w:jc w:val="center"/>
            </w:pPr>
            <w:r>
              <w:rPr>
                <w:rFonts w:ascii="宋体" w:hAnsi="宋体" w:eastAsia="宋体"/>
                <w:sz w:val="21"/>
              </w:rPr>
              <w:t>151</w:t>
            </w:r>
          </w:p>
        </w:tc>
        <w:tc>
          <w:tcPr>
            <w:tcW w:w="1881" w:type="dxa"/>
            <w:vAlign w:val="center"/>
          </w:tcPr>
          <w:p w14:paraId="6C2F714D">
            <w:pPr>
              <w:spacing w:before="0" w:after="0"/>
              <w:jc w:val="center"/>
            </w:pPr>
            <w:r>
              <w:rPr>
                <w:rFonts w:ascii="宋体" w:hAnsi="宋体" w:eastAsia="宋体"/>
                <w:sz w:val="21"/>
              </w:rPr>
              <w:t>998</w:t>
            </w:r>
          </w:p>
        </w:tc>
      </w:tr>
      <w:tr w14:paraId="06FAC3C4">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12D23DBC">
            <w:pPr>
              <w:spacing w:before="0" w:after="0"/>
              <w:jc w:val="center"/>
            </w:pPr>
            <w:r>
              <w:rPr>
                <w:rFonts w:ascii="Times New Roman" w:hAnsi="Times New Roman"/>
                <w:sz w:val="21"/>
              </w:rPr>
              <w:t>D</w:t>
            </w:r>
          </w:p>
        </w:tc>
        <w:tc>
          <w:tcPr>
            <w:tcW w:w="1881" w:type="dxa"/>
            <w:vAlign w:val="center"/>
          </w:tcPr>
          <w:p w14:paraId="427169AA">
            <w:pPr>
              <w:spacing w:before="0" w:after="0"/>
              <w:jc w:val="center"/>
            </w:pPr>
            <w:r>
              <w:rPr>
                <w:rFonts w:ascii="宋体" w:hAnsi="宋体" w:eastAsia="宋体"/>
                <w:sz w:val="21"/>
              </w:rPr>
              <w:t>375</w:t>
            </w:r>
          </w:p>
        </w:tc>
        <w:tc>
          <w:tcPr>
            <w:tcW w:w="1881" w:type="dxa"/>
            <w:vAlign w:val="center"/>
          </w:tcPr>
          <w:p w14:paraId="6B634B05">
            <w:pPr>
              <w:spacing w:before="0" w:after="0"/>
              <w:jc w:val="center"/>
            </w:pPr>
            <w:r>
              <w:rPr>
                <w:rFonts w:ascii="宋体" w:hAnsi="宋体" w:eastAsia="宋体"/>
                <w:sz w:val="21"/>
              </w:rPr>
              <w:t>120</w:t>
            </w:r>
          </w:p>
        </w:tc>
        <w:tc>
          <w:tcPr>
            <w:tcW w:w="1881" w:type="dxa"/>
            <w:vAlign w:val="center"/>
          </w:tcPr>
          <w:p w14:paraId="40783629">
            <w:pPr>
              <w:spacing w:before="0" w:after="0"/>
              <w:jc w:val="center"/>
            </w:pPr>
            <w:r>
              <w:rPr>
                <w:rFonts w:ascii="宋体" w:hAnsi="宋体" w:eastAsia="宋体"/>
                <w:sz w:val="21"/>
              </w:rPr>
              <w:t>95</w:t>
            </w:r>
          </w:p>
        </w:tc>
        <w:tc>
          <w:tcPr>
            <w:tcW w:w="1881" w:type="dxa"/>
            <w:vAlign w:val="center"/>
          </w:tcPr>
          <w:p w14:paraId="4FDE17AD">
            <w:pPr>
              <w:spacing w:before="0" w:after="0"/>
              <w:jc w:val="center"/>
            </w:pPr>
            <w:r>
              <w:rPr>
                <w:rFonts w:ascii="宋体" w:hAnsi="宋体" w:eastAsia="宋体"/>
                <w:sz w:val="21"/>
              </w:rPr>
              <w:t>590</w:t>
            </w:r>
          </w:p>
        </w:tc>
      </w:tr>
      <w:tr w14:paraId="35263AA9">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1646B4FF">
            <w:pPr>
              <w:spacing w:before="0" w:after="0"/>
              <w:jc w:val="center"/>
            </w:pPr>
            <w:r>
              <w:rPr>
                <w:rFonts w:ascii="Times New Roman" w:hAnsi="Times New Roman"/>
                <w:sz w:val="21"/>
              </w:rPr>
              <w:t>E</w:t>
            </w:r>
          </w:p>
        </w:tc>
        <w:tc>
          <w:tcPr>
            <w:tcW w:w="1881" w:type="dxa"/>
            <w:vAlign w:val="center"/>
          </w:tcPr>
          <w:p w14:paraId="6C715458">
            <w:pPr>
              <w:spacing w:before="0" w:after="0"/>
              <w:jc w:val="center"/>
            </w:pPr>
            <w:r>
              <w:rPr>
                <w:rFonts w:ascii="宋体" w:hAnsi="宋体" w:eastAsia="宋体"/>
                <w:sz w:val="21"/>
              </w:rPr>
              <w:t>544</w:t>
            </w:r>
          </w:p>
        </w:tc>
        <w:tc>
          <w:tcPr>
            <w:tcW w:w="1881" w:type="dxa"/>
            <w:vAlign w:val="center"/>
          </w:tcPr>
          <w:p w14:paraId="46226715">
            <w:pPr>
              <w:spacing w:before="0" w:after="0"/>
              <w:jc w:val="center"/>
            </w:pPr>
            <w:r>
              <w:rPr>
                <w:rFonts w:ascii="宋体" w:hAnsi="宋体" w:eastAsia="宋体"/>
                <w:sz w:val="21"/>
              </w:rPr>
              <w:t>176</w:t>
            </w:r>
          </w:p>
        </w:tc>
        <w:tc>
          <w:tcPr>
            <w:tcW w:w="1881" w:type="dxa"/>
            <w:vAlign w:val="center"/>
          </w:tcPr>
          <w:p w14:paraId="49CF8EDD">
            <w:pPr>
              <w:spacing w:before="0" w:after="0"/>
              <w:jc w:val="center"/>
            </w:pPr>
            <w:r>
              <w:rPr>
                <w:rFonts w:ascii="宋体" w:hAnsi="宋体" w:eastAsia="宋体"/>
                <w:sz w:val="21"/>
              </w:rPr>
              <w:t>131</w:t>
            </w:r>
          </w:p>
        </w:tc>
        <w:tc>
          <w:tcPr>
            <w:tcW w:w="1881" w:type="dxa"/>
            <w:vAlign w:val="center"/>
          </w:tcPr>
          <w:p w14:paraId="13A19B9C">
            <w:pPr>
              <w:spacing w:before="0" w:after="0"/>
              <w:jc w:val="center"/>
            </w:pPr>
            <w:r>
              <w:rPr>
                <w:rFonts w:ascii="宋体" w:hAnsi="宋体" w:eastAsia="宋体"/>
                <w:sz w:val="21"/>
              </w:rPr>
              <w:t>851</w:t>
            </w:r>
          </w:p>
        </w:tc>
      </w:tr>
      <w:tr w14:paraId="540A134D">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21893973">
            <w:pPr>
              <w:spacing w:before="0" w:after="0"/>
              <w:jc w:val="center"/>
            </w:pPr>
            <w:r>
              <w:rPr>
                <w:rFonts w:ascii="Times New Roman" w:hAnsi="Times New Roman"/>
                <w:sz w:val="21"/>
              </w:rPr>
              <w:t>F</w:t>
            </w:r>
          </w:p>
        </w:tc>
        <w:tc>
          <w:tcPr>
            <w:tcW w:w="1881" w:type="dxa"/>
            <w:vAlign w:val="center"/>
          </w:tcPr>
          <w:p w14:paraId="343AD66A">
            <w:pPr>
              <w:spacing w:before="0" w:after="0"/>
              <w:jc w:val="center"/>
            </w:pPr>
            <w:r>
              <w:rPr>
                <w:rFonts w:ascii="宋体" w:hAnsi="宋体" w:eastAsia="宋体"/>
                <w:sz w:val="21"/>
              </w:rPr>
              <w:t>331</w:t>
            </w:r>
          </w:p>
        </w:tc>
        <w:tc>
          <w:tcPr>
            <w:tcW w:w="1881" w:type="dxa"/>
            <w:vAlign w:val="center"/>
          </w:tcPr>
          <w:p w14:paraId="4645C9B1">
            <w:pPr>
              <w:spacing w:before="0" w:after="0"/>
              <w:jc w:val="center"/>
            </w:pPr>
            <w:r>
              <w:rPr>
                <w:rFonts w:ascii="宋体" w:hAnsi="宋体" w:eastAsia="宋体"/>
                <w:sz w:val="21"/>
              </w:rPr>
              <w:t>106</w:t>
            </w:r>
          </w:p>
        </w:tc>
        <w:tc>
          <w:tcPr>
            <w:tcW w:w="1881" w:type="dxa"/>
            <w:vAlign w:val="center"/>
          </w:tcPr>
          <w:p w14:paraId="00A45C23">
            <w:pPr>
              <w:spacing w:before="0" w:after="0"/>
              <w:jc w:val="center"/>
            </w:pPr>
            <w:r>
              <w:rPr>
                <w:rFonts w:ascii="宋体" w:hAnsi="宋体" w:eastAsia="宋体"/>
                <w:sz w:val="21"/>
              </w:rPr>
              <w:t>76</w:t>
            </w:r>
          </w:p>
        </w:tc>
        <w:tc>
          <w:tcPr>
            <w:tcW w:w="1881" w:type="dxa"/>
            <w:vAlign w:val="center"/>
          </w:tcPr>
          <w:p w14:paraId="50EABCC9">
            <w:pPr>
              <w:spacing w:before="0" w:after="0"/>
              <w:jc w:val="center"/>
            </w:pPr>
            <w:r>
              <w:rPr>
                <w:rFonts w:ascii="宋体" w:hAnsi="宋体" w:eastAsia="宋体"/>
                <w:sz w:val="21"/>
              </w:rPr>
              <w:t>513</w:t>
            </w:r>
          </w:p>
        </w:tc>
      </w:tr>
      <w:tr w14:paraId="003B36E5">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62FF3070">
            <w:pPr>
              <w:spacing w:before="0" w:after="0"/>
              <w:jc w:val="center"/>
            </w:pPr>
            <w:r>
              <w:rPr>
                <w:rFonts w:ascii="Times New Roman" w:hAnsi="Times New Roman"/>
                <w:sz w:val="21"/>
              </w:rPr>
              <w:t>G</w:t>
            </w:r>
          </w:p>
        </w:tc>
        <w:tc>
          <w:tcPr>
            <w:tcW w:w="1881" w:type="dxa"/>
            <w:vAlign w:val="center"/>
          </w:tcPr>
          <w:p w14:paraId="026ABD2D">
            <w:pPr>
              <w:spacing w:before="0" w:after="0"/>
              <w:jc w:val="center"/>
            </w:pPr>
            <w:r>
              <w:rPr>
                <w:rFonts w:ascii="宋体" w:hAnsi="宋体" w:eastAsia="宋体"/>
                <w:sz w:val="21"/>
              </w:rPr>
              <w:t>600</w:t>
            </w:r>
          </w:p>
        </w:tc>
        <w:tc>
          <w:tcPr>
            <w:tcW w:w="1881" w:type="dxa"/>
            <w:vAlign w:val="center"/>
          </w:tcPr>
          <w:p w14:paraId="485798D0">
            <w:pPr>
              <w:spacing w:before="0" w:after="0"/>
              <w:jc w:val="center"/>
            </w:pPr>
            <w:r>
              <w:rPr>
                <w:rFonts w:ascii="宋体" w:hAnsi="宋体" w:eastAsia="宋体"/>
                <w:sz w:val="21"/>
              </w:rPr>
              <w:t>193</w:t>
            </w:r>
          </w:p>
        </w:tc>
        <w:tc>
          <w:tcPr>
            <w:tcW w:w="1881" w:type="dxa"/>
            <w:vAlign w:val="center"/>
          </w:tcPr>
          <w:p w14:paraId="44D91C9A">
            <w:pPr>
              <w:spacing w:before="0" w:after="0"/>
              <w:jc w:val="center"/>
            </w:pPr>
            <w:r>
              <w:rPr>
                <w:rFonts w:ascii="宋体" w:hAnsi="宋体" w:eastAsia="宋体"/>
                <w:sz w:val="21"/>
              </w:rPr>
              <w:t>145</w:t>
            </w:r>
          </w:p>
        </w:tc>
        <w:tc>
          <w:tcPr>
            <w:tcW w:w="1881" w:type="dxa"/>
            <w:vAlign w:val="center"/>
          </w:tcPr>
          <w:p w14:paraId="4A415A3F">
            <w:pPr>
              <w:spacing w:before="0" w:after="0"/>
              <w:jc w:val="center"/>
            </w:pPr>
            <w:r>
              <w:rPr>
                <w:rFonts w:ascii="宋体" w:hAnsi="宋体" w:eastAsia="宋体"/>
                <w:sz w:val="21"/>
              </w:rPr>
              <w:t>938</w:t>
            </w:r>
          </w:p>
        </w:tc>
      </w:tr>
      <w:tr w14:paraId="67ACF317">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301D0EA8">
            <w:pPr>
              <w:spacing w:before="0" w:after="0"/>
              <w:jc w:val="center"/>
            </w:pPr>
            <w:r>
              <w:rPr>
                <w:rFonts w:ascii="Times New Roman" w:hAnsi="Times New Roman"/>
                <w:sz w:val="21"/>
              </w:rPr>
              <w:t>H</w:t>
            </w:r>
          </w:p>
        </w:tc>
        <w:tc>
          <w:tcPr>
            <w:tcW w:w="1881" w:type="dxa"/>
            <w:vAlign w:val="center"/>
          </w:tcPr>
          <w:p w14:paraId="51296DAF">
            <w:pPr>
              <w:spacing w:before="0" w:after="0"/>
              <w:jc w:val="center"/>
            </w:pPr>
            <w:r>
              <w:rPr>
                <w:rFonts w:ascii="宋体" w:hAnsi="宋体" w:eastAsia="宋体"/>
                <w:sz w:val="21"/>
              </w:rPr>
              <w:t>396</w:t>
            </w:r>
          </w:p>
        </w:tc>
        <w:tc>
          <w:tcPr>
            <w:tcW w:w="1881" w:type="dxa"/>
            <w:vAlign w:val="center"/>
          </w:tcPr>
          <w:p w14:paraId="118375B2">
            <w:pPr>
              <w:spacing w:before="0" w:after="0"/>
              <w:jc w:val="center"/>
            </w:pPr>
            <w:r>
              <w:rPr>
                <w:rFonts w:ascii="宋体" w:hAnsi="宋体" w:eastAsia="宋体"/>
                <w:sz w:val="21"/>
              </w:rPr>
              <w:t>128</w:t>
            </w:r>
          </w:p>
        </w:tc>
        <w:tc>
          <w:tcPr>
            <w:tcW w:w="1881" w:type="dxa"/>
            <w:vAlign w:val="center"/>
          </w:tcPr>
          <w:p w14:paraId="0707052C">
            <w:pPr>
              <w:spacing w:before="0" w:after="0"/>
              <w:jc w:val="center"/>
            </w:pPr>
            <w:r>
              <w:rPr>
                <w:rFonts w:ascii="宋体" w:hAnsi="宋体" w:eastAsia="宋体"/>
                <w:sz w:val="21"/>
              </w:rPr>
              <w:t>92</w:t>
            </w:r>
          </w:p>
        </w:tc>
        <w:tc>
          <w:tcPr>
            <w:tcW w:w="1881" w:type="dxa"/>
            <w:vAlign w:val="center"/>
          </w:tcPr>
          <w:p w14:paraId="791D6159">
            <w:pPr>
              <w:spacing w:before="0" w:after="0"/>
              <w:jc w:val="center"/>
            </w:pPr>
            <w:r>
              <w:rPr>
                <w:rFonts w:ascii="宋体" w:hAnsi="宋体" w:eastAsia="宋体"/>
                <w:sz w:val="21"/>
              </w:rPr>
              <w:t>616</w:t>
            </w:r>
          </w:p>
        </w:tc>
      </w:tr>
      <w:tr w14:paraId="2CE87D4A">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576255A3">
            <w:pPr>
              <w:spacing w:before="0" w:after="0"/>
              <w:jc w:val="center"/>
            </w:pPr>
            <w:r>
              <w:rPr>
                <w:rFonts w:ascii="Times New Roman" w:hAnsi="Times New Roman"/>
                <w:sz w:val="21"/>
              </w:rPr>
              <w:t>I</w:t>
            </w:r>
          </w:p>
        </w:tc>
        <w:tc>
          <w:tcPr>
            <w:tcW w:w="1881" w:type="dxa"/>
            <w:vAlign w:val="center"/>
          </w:tcPr>
          <w:p w14:paraId="7F1EB074">
            <w:pPr>
              <w:spacing w:before="0" w:after="0"/>
              <w:jc w:val="center"/>
            </w:pPr>
            <w:r>
              <w:rPr>
                <w:rFonts w:ascii="宋体" w:hAnsi="宋体" w:eastAsia="宋体"/>
                <w:sz w:val="21"/>
              </w:rPr>
              <w:t>511</w:t>
            </w:r>
          </w:p>
        </w:tc>
        <w:tc>
          <w:tcPr>
            <w:tcW w:w="1881" w:type="dxa"/>
            <w:vAlign w:val="center"/>
          </w:tcPr>
          <w:p w14:paraId="048856D7">
            <w:pPr>
              <w:spacing w:before="0" w:after="0"/>
              <w:jc w:val="center"/>
            </w:pPr>
            <w:r>
              <w:rPr>
                <w:rFonts w:ascii="宋体" w:hAnsi="宋体" w:eastAsia="宋体"/>
                <w:sz w:val="21"/>
              </w:rPr>
              <w:t>166</w:t>
            </w:r>
          </w:p>
        </w:tc>
        <w:tc>
          <w:tcPr>
            <w:tcW w:w="1881" w:type="dxa"/>
            <w:vAlign w:val="center"/>
          </w:tcPr>
          <w:p w14:paraId="362C81A6">
            <w:pPr>
              <w:spacing w:before="0" w:after="0"/>
              <w:jc w:val="center"/>
            </w:pPr>
            <w:r>
              <w:rPr>
                <w:rFonts w:ascii="宋体" w:hAnsi="宋体" w:eastAsia="宋体"/>
                <w:sz w:val="21"/>
              </w:rPr>
              <w:t>121</w:t>
            </w:r>
          </w:p>
        </w:tc>
        <w:tc>
          <w:tcPr>
            <w:tcW w:w="1881" w:type="dxa"/>
            <w:vAlign w:val="center"/>
          </w:tcPr>
          <w:p w14:paraId="3DE99395">
            <w:pPr>
              <w:spacing w:before="0" w:after="0"/>
              <w:jc w:val="center"/>
            </w:pPr>
            <w:r>
              <w:rPr>
                <w:rFonts w:ascii="宋体" w:hAnsi="宋体" w:eastAsia="宋体"/>
                <w:sz w:val="21"/>
              </w:rPr>
              <w:t>798</w:t>
            </w:r>
          </w:p>
        </w:tc>
      </w:tr>
      <w:tr w14:paraId="67B650BA">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18C61614">
            <w:pPr>
              <w:spacing w:before="0" w:after="0"/>
              <w:jc w:val="center"/>
            </w:pPr>
            <w:r>
              <w:rPr>
                <w:rFonts w:ascii="Times New Roman" w:hAnsi="Times New Roman"/>
                <w:sz w:val="21"/>
              </w:rPr>
              <w:t>J</w:t>
            </w:r>
          </w:p>
        </w:tc>
        <w:tc>
          <w:tcPr>
            <w:tcW w:w="1881" w:type="dxa"/>
            <w:vAlign w:val="center"/>
          </w:tcPr>
          <w:p w14:paraId="3DF92021">
            <w:pPr>
              <w:spacing w:before="0" w:after="0"/>
              <w:jc w:val="center"/>
            </w:pPr>
            <w:r>
              <w:rPr>
                <w:rFonts w:ascii="宋体" w:hAnsi="宋体" w:eastAsia="宋体"/>
                <w:sz w:val="21"/>
              </w:rPr>
              <w:t>460</w:t>
            </w:r>
          </w:p>
        </w:tc>
        <w:tc>
          <w:tcPr>
            <w:tcW w:w="1881" w:type="dxa"/>
            <w:vAlign w:val="center"/>
          </w:tcPr>
          <w:p w14:paraId="0328F42D">
            <w:pPr>
              <w:spacing w:before="0" w:after="0"/>
              <w:jc w:val="center"/>
            </w:pPr>
            <w:r>
              <w:rPr>
                <w:rFonts w:ascii="宋体" w:hAnsi="宋体" w:eastAsia="宋体"/>
                <w:sz w:val="21"/>
              </w:rPr>
              <w:t>146</w:t>
            </w:r>
          </w:p>
        </w:tc>
        <w:tc>
          <w:tcPr>
            <w:tcW w:w="1881" w:type="dxa"/>
            <w:vAlign w:val="center"/>
          </w:tcPr>
          <w:p w14:paraId="5F35D163">
            <w:pPr>
              <w:spacing w:before="0" w:after="0"/>
              <w:jc w:val="center"/>
            </w:pPr>
            <w:r>
              <w:rPr>
                <w:rFonts w:ascii="宋体" w:hAnsi="宋体" w:eastAsia="宋体"/>
                <w:sz w:val="21"/>
              </w:rPr>
              <w:t>106</w:t>
            </w:r>
          </w:p>
        </w:tc>
        <w:tc>
          <w:tcPr>
            <w:tcW w:w="1881" w:type="dxa"/>
            <w:vAlign w:val="center"/>
          </w:tcPr>
          <w:p w14:paraId="5F50189A">
            <w:pPr>
              <w:spacing w:before="0" w:after="0"/>
              <w:jc w:val="center"/>
            </w:pPr>
            <w:r>
              <w:rPr>
                <w:rFonts w:ascii="宋体" w:hAnsi="宋体" w:eastAsia="宋体"/>
                <w:sz w:val="21"/>
              </w:rPr>
              <w:t>712</w:t>
            </w:r>
          </w:p>
        </w:tc>
      </w:tr>
      <w:tr w14:paraId="57052345">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7BA8BA16">
            <w:pPr>
              <w:spacing w:before="0" w:after="0"/>
              <w:jc w:val="center"/>
            </w:pPr>
            <w:r>
              <w:rPr>
                <w:rFonts w:ascii="宋体" w:hAnsi="宋体" w:eastAsia="宋体"/>
                <w:sz w:val="21"/>
              </w:rPr>
              <w:t>合计</w:t>
            </w:r>
          </w:p>
        </w:tc>
        <w:tc>
          <w:tcPr>
            <w:tcW w:w="1881" w:type="dxa"/>
            <w:vAlign w:val="center"/>
          </w:tcPr>
          <w:p w14:paraId="42813870">
            <w:pPr>
              <w:spacing w:before="0" w:after="0"/>
              <w:jc w:val="center"/>
            </w:pPr>
            <w:r>
              <w:rPr>
                <w:rFonts w:ascii="宋体" w:hAnsi="宋体" w:eastAsia="宋体"/>
                <w:sz w:val="21"/>
              </w:rPr>
              <w:t>4774</w:t>
            </w:r>
          </w:p>
        </w:tc>
        <w:tc>
          <w:tcPr>
            <w:tcW w:w="1881" w:type="dxa"/>
            <w:vAlign w:val="center"/>
          </w:tcPr>
          <w:p w14:paraId="2FD53C29">
            <w:pPr>
              <w:spacing w:before="0" w:after="0"/>
              <w:jc w:val="center"/>
            </w:pPr>
            <w:r>
              <w:rPr>
                <w:rFonts w:ascii="宋体" w:hAnsi="宋体" w:eastAsia="宋体"/>
                <w:sz w:val="21"/>
              </w:rPr>
              <w:t>1534</w:t>
            </w:r>
          </w:p>
        </w:tc>
        <w:tc>
          <w:tcPr>
            <w:tcW w:w="1881" w:type="dxa"/>
            <w:vAlign w:val="center"/>
          </w:tcPr>
          <w:p w14:paraId="2F6E172E">
            <w:pPr>
              <w:spacing w:before="0" w:after="0"/>
              <w:jc w:val="center"/>
            </w:pPr>
            <w:r>
              <w:rPr>
                <w:rFonts w:ascii="宋体" w:hAnsi="宋体" w:eastAsia="宋体"/>
                <w:sz w:val="21"/>
              </w:rPr>
              <w:t>1141</w:t>
            </w:r>
          </w:p>
        </w:tc>
        <w:tc>
          <w:tcPr>
            <w:tcW w:w="1881" w:type="dxa"/>
            <w:vAlign w:val="center"/>
          </w:tcPr>
          <w:p w14:paraId="333AE94E">
            <w:pPr>
              <w:spacing w:before="0" w:after="0"/>
              <w:jc w:val="center"/>
            </w:pPr>
            <w:r>
              <w:rPr>
                <w:rFonts w:ascii="宋体" w:hAnsi="宋体" w:eastAsia="宋体"/>
                <w:sz w:val="21"/>
              </w:rPr>
              <w:t>7449</w:t>
            </w:r>
          </w:p>
        </w:tc>
      </w:tr>
    </w:tbl>
    <w:p w14:paraId="36627C67">
      <w:pPr>
        <w:jc w:val="center"/>
      </w:pPr>
    </w:p>
    <w:p w14:paraId="50426353">
      <w:pPr>
        <w:jc w:val="center"/>
      </w:pPr>
      <w:r>
        <w:drawing>
          <wp:inline distT="0" distB="0" distL="114300" distR="114300">
            <wp:extent cx="4206240" cy="2882265"/>
            <wp:effectExtent l="0" t="0" r="1016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206240" cy="2882799"/>
                    </a:xfrm>
                    <a:prstGeom prst="rect">
                      <a:avLst/>
                    </a:prstGeom>
                  </pic:spPr>
                </pic:pic>
              </a:graphicData>
            </a:graphic>
          </wp:inline>
        </w:drawing>
      </w:r>
    </w:p>
    <w:p w14:paraId="56176DB9">
      <w:pPr>
        <w:jc w:val="center"/>
      </w:pPr>
      <w:r>
        <w:rPr>
          <w:rFonts w:ascii="宋体" w:hAnsi="宋体" w:eastAsia="宋体"/>
          <w:b/>
          <w:sz w:val="21"/>
        </w:rPr>
        <w:t>图1  第1~5年老年人口趋势（失能+78%，远超整体+22%）</w:t>
      </w:r>
    </w:p>
    <w:p w14:paraId="1D38B77A">
      <w:pPr>
        <w:spacing w:line="360" w:lineRule="auto"/>
        <w:ind w:firstLine="480"/>
      </w:pPr>
      <w:r>
        <w:rPr>
          <w:rFonts w:ascii="Times New Roman" w:hAnsi="Times New Roman" w:eastAsia="宋体"/>
          <w:sz w:val="24"/>
        </w:rPr>
        <w:t>图1显示：五年间老年总人口从7206增至7449人（+3.4%），但结构显著恶化——自理老人从5072降至4774人（−5.9%），而失能老人从709激增至1141人（+60.9%）。失能老人增速是整体的18倍，表明养老服务体系面临从"基础照料"向"专业护理"转型的压力。</w:t>
      </w:r>
    </w:p>
    <w:p w14:paraId="72D114FE">
      <w:pPr>
        <w:spacing w:before="160" w:after="60"/>
      </w:pPr>
      <w:r>
        <w:rPr>
          <w:rFonts w:ascii="黑体" w:hAnsi="黑体" w:eastAsia="黑体"/>
          <w:b/>
          <w:sz w:val="28"/>
        </w:rPr>
        <w:t>4.2 消费约束</w:t>
      </w:r>
    </w:p>
    <w:p w14:paraId="58595873">
      <w:pPr>
        <w:spacing w:line="360" w:lineRule="auto"/>
        <w:ind w:firstLine="480"/>
      </w:pPr>
      <w:r>
        <w:rPr>
          <w:rFonts w:ascii="Times New Roman" w:hAnsi="Times New Roman" w:eastAsia="宋体"/>
          <w:sz w:val="24"/>
        </w:rPr>
        <w:t>各类老人月理论消费：自理356元、半失能822元、失能1208元。消费上限=月收入×比例(自理20%/半失能25%/失能30%)。若超限则等比例削减五项付费服务，α=min(1,上限/付费消费)，紧急救助保留原始次数。</w:t>
      </w:r>
    </w:p>
    <w:p w14:paraId="4469319C">
      <w:pPr>
        <w:spacing w:before="80"/>
        <w:jc w:val="center"/>
      </w:pPr>
      <w:r>
        <w:rPr>
          <w:rFonts w:ascii="宋体" w:hAnsi="宋体" w:eastAsia="宋体"/>
          <w:b/>
          <w:sz w:val="21"/>
        </w:rPr>
        <w:t>表3  消费约束缩放因子α</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1881"/>
        <w:gridCol w:w="1881"/>
        <w:gridCol w:w="1881"/>
        <w:gridCol w:w="1881"/>
        <w:gridCol w:w="1881"/>
      </w:tblGrid>
      <w:tr w14:paraId="36BE2B34">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tcBorders>
              <w:bottom w:val="single" w:color="000000" w:sz="6" w:space="0"/>
            </w:tcBorders>
            <w:vAlign w:val="center"/>
          </w:tcPr>
          <w:p w14:paraId="739AD580">
            <w:pPr>
              <w:spacing w:before="0" w:after="0"/>
              <w:jc w:val="center"/>
            </w:pPr>
            <w:r>
              <w:rPr>
                <w:rFonts w:ascii="宋体" w:hAnsi="宋体" w:eastAsia="宋体"/>
                <w:b/>
                <w:sz w:val="21"/>
              </w:rPr>
              <w:t>小区</w:t>
            </w:r>
          </w:p>
        </w:tc>
        <w:tc>
          <w:tcPr>
            <w:tcW w:w="1881" w:type="dxa"/>
            <w:tcBorders>
              <w:bottom w:val="single" w:color="000000" w:sz="6" w:space="0"/>
            </w:tcBorders>
            <w:vAlign w:val="center"/>
          </w:tcPr>
          <w:p w14:paraId="428B638D">
            <w:pPr>
              <w:spacing w:before="0" w:after="0"/>
              <w:jc w:val="center"/>
            </w:pPr>
            <w:r>
              <w:rPr>
                <w:rFonts w:ascii="宋体" w:hAnsi="宋体" w:eastAsia="宋体"/>
                <w:b/>
                <w:sz w:val="21"/>
              </w:rPr>
              <w:t>收入(元)</w:t>
            </w:r>
          </w:p>
        </w:tc>
        <w:tc>
          <w:tcPr>
            <w:tcW w:w="1881" w:type="dxa"/>
            <w:tcBorders>
              <w:bottom w:val="single" w:color="000000" w:sz="6" w:space="0"/>
            </w:tcBorders>
            <w:vAlign w:val="center"/>
          </w:tcPr>
          <w:p w14:paraId="1F981DC8">
            <w:pPr>
              <w:spacing w:before="0" w:after="0"/>
              <w:jc w:val="center"/>
            </w:pPr>
            <w:r>
              <w:rPr>
                <w:rFonts w:ascii="宋体" w:hAnsi="宋体" w:eastAsia="宋体"/>
                <w:b/>
                <w:sz w:val="21"/>
              </w:rPr>
              <w:t>自理α</w:t>
            </w:r>
          </w:p>
        </w:tc>
        <w:tc>
          <w:tcPr>
            <w:tcW w:w="1881" w:type="dxa"/>
            <w:tcBorders>
              <w:bottom w:val="single" w:color="000000" w:sz="6" w:space="0"/>
            </w:tcBorders>
            <w:vAlign w:val="center"/>
          </w:tcPr>
          <w:p w14:paraId="0AB70D8C">
            <w:pPr>
              <w:spacing w:before="0" w:after="0"/>
              <w:jc w:val="center"/>
            </w:pPr>
            <w:r>
              <w:rPr>
                <w:rFonts w:ascii="宋体" w:hAnsi="宋体" w:eastAsia="宋体"/>
                <w:b/>
                <w:sz w:val="21"/>
              </w:rPr>
              <w:t>半失能α</w:t>
            </w:r>
          </w:p>
        </w:tc>
        <w:tc>
          <w:tcPr>
            <w:tcW w:w="1881" w:type="dxa"/>
            <w:tcBorders>
              <w:bottom w:val="single" w:color="000000" w:sz="6" w:space="0"/>
            </w:tcBorders>
            <w:vAlign w:val="center"/>
          </w:tcPr>
          <w:p w14:paraId="7E6A5F28">
            <w:pPr>
              <w:spacing w:before="0" w:after="0"/>
              <w:jc w:val="center"/>
            </w:pPr>
            <w:r>
              <w:rPr>
                <w:rFonts w:ascii="宋体" w:hAnsi="宋体" w:eastAsia="宋体"/>
                <w:b/>
                <w:sz w:val="21"/>
              </w:rPr>
              <w:t>失能α</w:t>
            </w:r>
          </w:p>
        </w:tc>
      </w:tr>
      <w:tr w14:paraId="4CF7BD68">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25D5BD44">
            <w:pPr>
              <w:spacing w:before="0" w:after="0"/>
              <w:jc w:val="center"/>
            </w:pPr>
            <w:r>
              <w:rPr>
                <w:rFonts w:ascii="Times New Roman" w:hAnsi="Times New Roman"/>
                <w:sz w:val="21"/>
              </w:rPr>
              <w:t>A</w:t>
            </w:r>
          </w:p>
        </w:tc>
        <w:tc>
          <w:tcPr>
            <w:tcW w:w="1881" w:type="dxa"/>
            <w:vAlign w:val="center"/>
          </w:tcPr>
          <w:p w14:paraId="08C919FE">
            <w:pPr>
              <w:spacing w:before="0" w:after="0"/>
              <w:jc w:val="center"/>
            </w:pPr>
            <w:r>
              <w:rPr>
                <w:rFonts w:ascii="宋体" w:hAnsi="宋体" w:eastAsia="宋体"/>
                <w:sz w:val="21"/>
              </w:rPr>
              <w:t>3400</w:t>
            </w:r>
          </w:p>
        </w:tc>
        <w:tc>
          <w:tcPr>
            <w:tcW w:w="1881" w:type="dxa"/>
            <w:vAlign w:val="center"/>
          </w:tcPr>
          <w:p w14:paraId="4AB70D83">
            <w:pPr>
              <w:spacing w:before="0" w:after="0"/>
              <w:jc w:val="center"/>
            </w:pPr>
            <w:r>
              <w:rPr>
                <w:rFonts w:ascii="宋体" w:hAnsi="宋体" w:eastAsia="宋体"/>
                <w:sz w:val="21"/>
              </w:rPr>
              <w:t>1.00</w:t>
            </w:r>
          </w:p>
        </w:tc>
        <w:tc>
          <w:tcPr>
            <w:tcW w:w="1881" w:type="dxa"/>
            <w:vAlign w:val="center"/>
          </w:tcPr>
          <w:p w14:paraId="273505EE">
            <w:pPr>
              <w:spacing w:before="0" w:after="0"/>
              <w:jc w:val="center"/>
            </w:pPr>
            <w:r>
              <w:rPr>
                <w:rFonts w:ascii="宋体" w:hAnsi="宋体" w:eastAsia="宋体"/>
                <w:sz w:val="21"/>
              </w:rPr>
              <w:t>1.00</w:t>
            </w:r>
          </w:p>
        </w:tc>
        <w:tc>
          <w:tcPr>
            <w:tcW w:w="1881" w:type="dxa"/>
            <w:vAlign w:val="center"/>
          </w:tcPr>
          <w:p w14:paraId="19E7E500">
            <w:pPr>
              <w:spacing w:before="0" w:after="0"/>
              <w:jc w:val="center"/>
            </w:pPr>
            <w:r>
              <w:rPr>
                <w:rFonts w:ascii="宋体" w:hAnsi="宋体" w:eastAsia="宋体"/>
                <w:sz w:val="21"/>
              </w:rPr>
              <w:t>0.844</w:t>
            </w:r>
          </w:p>
        </w:tc>
      </w:tr>
      <w:tr w14:paraId="370D62CA">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29BE13DE">
            <w:pPr>
              <w:spacing w:before="0" w:after="0"/>
              <w:jc w:val="center"/>
            </w:pPr>
            <w:r>
              <w:rPr>
                <w:rFonts w:ascii="Times New Roman" w:hAnsi="Times New Roman"/>
                <w:sz w:val="21"/>
              </w:rPr>
              <w:t>B</w:t>
            </w:r>
          </w:p>
        </w:tc>
        <w:tc>
          <w:tcPr>
            <w:tcW w:w="1881" w:type="dxa"/>
            <w:vAlign w:val="center"/>
          </w:tcPr>
          <w:p w14:paraId="6A13ED42">
            <w:pPr>
              <w:spacing w:before="0" w:after="0"/>
              <w:jc w:val="center"/>
            </w:pPr>
            <w:r>
              <w:rPr>
                <w:rFonts w:ascii="宋体" w:hAnsi="宋体" w:eastAsia="宋体"/>
                <w:sz w:val="21"/>
              </w:rPr>
              <w:t>3100</w:t>
            </w:r>
          </w:p>
        </w:tc>
        <w:tc>
          <w:tcPr>
            <w:tcW w:w="1881" w:type="dxa"/>
            <w:vAlign w:val="center"/>
          </w:tcPr>
          <w:p w14:paraId="40AF4E0C">
            <w:pPr>
              <w:spacing w:before="0" w:after="0"/>
              <w:jc w:val="center"/>
            </w:pPr>
            <w:r>
              <w:rPr>
                <w:rFonts w:ascii="宋体" w:hAnsi="宋体" w:eastAsia="宋体"/>
                <w:sz w:val="21"/>
              </w:rPr>
              <w:t>1.00</w:t>
            </w:r>
          </w:p>
        </w:tc>
        <w:tc>
          <w:tcPr>
            <w:tcW w:w="1881" w:type="dxa"/>
            <w:vAlign w:val="center"/>
          </w:tcPr>
          <w:p w14:paraId="1223D050">
            <w:pPr>
              <w:spacing w:before="0" w:after="0"/>
              <w:jc w:val="center"/>
            </w:pPr>
            <w:r>
              <w:rPr>
                <w:rFonts w:ascii="宋体" w:hAnsi="宋体" w:eastAsia="宋体"/>
                <w:sz w:val="21"/>
              </w:rPr>
              <w:t>0.943</w:t>
            </w:r>
          </w:p>
        </w:tc>
        <w:tc>
          <w:tcPr>
            <w:tcW w:w="1881" w:type="dxa"/>
            <w:vAlign w:val="center"/>
          </w:tcPr>
          <w:p w14:paraId="05267CFA">
            <w:pPr>
              <w:spacing w:before="0" w:after="0"/>
              <w:jc w:val="center"/>
            </w:pPr>
            <w:r>
              <w:rPr>
                <w:rFonts w:ascii="宋体" w:hAnsi="宋体" w:eastAsia="宋体"/>
                <w:sz w:val="21"/>
              </w:rPr>
              <w:t>0.770</w:t>
            </w:r>
          </w:p>
        </w:tc>
      </w:tr>
      <w:tr w14:paraId="16BC6FC9">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2A00A786">
            <w:pPr>
              <w:spacing w:before="0" w:after="0"/>
              <w:jc w:val="center"/>
            </w:pPr>
            <w:r>
              <w:rPr>
                <w:rFonts w:ascii="Times New Roman" w:hAnsi="Times New Roman"/>
                <w:sz w:val="21"/>
              </w:rPr>
              <w:t>C</w:t>
            </w:r>
          </w:p>
        </w:tc>
        <w:tc>
          <w:tcPr>
            <w:tcW w:w="1881" w:type="dxa"/>
            <w:vAlign w:val="center"/>
          </w:tcPr>
          <w:p w14:paraId="323CD756">
            <w:pPr>
              <w:spacing w:before="0" w:after="0"/>
              <w:jc w:val="center"/>
            </w:pPr>
            <w:r>
              <w:rPr>
                <w:rFonts w:ascii="宋体" w:hAnsi="宋体" w:eastAsia="宋体"/>
                <w:sz w:val="21"/>
              </w:rPr>
              <w:t>3800</w:t>
            </w:r>
          </w:p>
        </w:tc>
        <w:tc>
          <w:tcPr>
            <w:tcW w:w="1881" w:type="dxa"/>
            <w:vAlign w:val="center"/>
          </w:tcPr>
          <w:p w14:paraId="4AD03F86">
            <w:pPr>
              <w:spacing w:before="0" w:after="0"/>
              <w:jc w:val="center"/>
            </w:pPr>
            <w:r>
              <w:rPr>
                <w:rFonts w:ascii="宋体" w:hAnsi="宋体" w:eastAsia="宋体"/>
                <w:sz w:val="21"/>
              </w:rPr>
              <w:t>1.00</w:t>
            </w:r>
          </w:p>
        </w:tc>
        <w:tc>
          <w:tcPr>
            <w:tcW w:w="1881" w:type="dxa"/>
            <w:vAlign w:val="center"/>
          </w:tcPr>
          <w:p w14:paraId="542E4FC9">
            <w:pPr>
              <w:spacing w:before="0" w:after="0"/>
              <w:jc w:val="center"/>
            </w:pPr>
            <w:r>
              <w:rPr>
                <w:rFonts w:ascii="宋体" w:hAnsi="宋体" w:eastAsia="宋体"/>
                <w:sz w:val="21"/>
              </w:rPr>
              <w:t>1.00</w:t>
            </w:r>
          </w:p>
        </w:tc>
        <w:tc>
          <w:tcPr>
            <w:tcW w:w="1881" w:type="dxa"/>
            <w:vAlign w:val="center"/>
          </w:tcPr>
          <w:p w14:paraId="223578C9">
            <w:pPr>
              <w:spacing w:before="0" w:after="0"/>
              <w:jc w:val="center"/>
            </w:pPr>
            <w:r>
              <w:rPr>
                <w:rFonts w:ascii="宋体" w:hAnsi="宋体" w:eastAsia="宋体"/>
                <w:sz w:val="21"/>
              </w:rPr>
              <w:t>0.944</w:t>
            </w:r>
          </w:p>
        </w:tc>
      </w:tr>
      <w:tr w14:paraId="669F4217">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4918E546">
            <w:pPr>
              <w:spacing w:before="0" w:after="0"/>
              <w:jc w:val="center"/>
            </w:pPr>
            <w:r>
              <w:rPr>
                <w:rFonts w:ascii="Times New Roman" w:hAnsi="Times New Roman"/>
                <w:sz w:val="21"/>
              </w:rPr>
              <w:t>D</w:t>
            </w:r>
          </w:p>
        </w:tc>
        <w:tc>
          <w:tcPr>
            <w:tcW w:w="1881" w:type="dxa"/>
            <w:vAlign w:val="center"/>
          </w:tcPr>
          <w:p w14:paraId="531D21F5">
            <w:pPr>
              <w:spacing w:before="0" w:after="0"/>
              <w:jc w:val="center"/>
            </w:pPr>
            <w:r>
              <w:rPr>
                <w:rFonts w:ascii="宋体" w:hAnsi="宋体" w:eastAsia="宋体"/>
                <w:sz w:val="21"/>
              </w:rPr>
              <w:t>2900</w:t>
            </w:r>
          </w:p>
        </w:tc>
        <w:tc>
          <w:tcPr>
            <w:tcW w:w="1881" w:type="dxa"/>
            <w:vAlign w:val="center"/>
          </w:tcPr>
          <w:p w14:paraId="78E0656F">
            <w:pPr>
              <w:spacing w:before="0" w:after="0"/>
              <w:jc w:val="center"/>
            </w:pPr>
            <w:r>
              <w:rPr>
                <w:rFonts w:ascii="宋体" w:hAnsi="宋体" w:eastAsia="宋体"/>
                <w:sz w:val="21"/>
              </w:rPr>
              <w:t>1.00</w:t>
            </w:r>
          </w:p>
        </w:tc>
        <w:tc>
          <w:tcPr>
            <w:tcW w:w="1881" w:type="dxa"/>
            <w:vAlign w:val="center"/>
          </w:tcPr>
          <w:p w14:paraId="07B9827D">
            <w:pPr>
              <w:spacing w:before="0" w:after="0"/>
              <w:jc w:val="center"/>
            </w:pPr>
            <w:r>
              <w:rPr>
                <w:rFonts w:ascii="宋体" w:hAnsi="宋体" w:eastAsia="宋体"/>
                <w:sz w:val="21"/>
              </w:rPr>
              <w:t>0.882</w:t>
            </w:r>
          </w:p>
        </w:tc>
        <w:tc>
          <w:tcPr>
            <w:tcW w:w="1881" w:type="dxa"/>
            <w:vAlign w:val="center"/>
          </w:tcPr>
          <w:p w14:paraId="2BA1ADDD">
            <w:pPr>
              <w:spacing w:before="0" w:after="0"/>
              <w:jc w:val="center"/>
            </w:pPr>
            <w:r>
              <w:rPr>
                <w:rFonts w:ascii="宋体" w:hAnsi="宋体" w:eastAsia="宋体"/>
                <w:sz w:val="21"/>
              </w:rPr>
              <w:t>0.720</w:t>
            </w:r>
          </w:p>
        </w:tc>
      </w:tr>
      <w:tr w14:paraId="170BB974">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5A4008C7">
            <w:pPr>
              <w:spacing w:before="0" w:after="0"/>
              <w:jc w:val="center"/>
            </w:pPr>
            <w:r>
              <w:rPr>
                <w:rFonts w:ascii="Times New Roman" w:hAnsi="Times New Roman"/>
                <w:sz w:val="21"/>
              </w:rPr>
              <w:t>E</w:t>
            </w:r>
          </w:p>
        </w:tc>
        <w:tc>
          <w:tcPr>
            <w:tcW w:w="1881" w:type="dxa"/>
            <w:vAlign w:val="center"/>
          </w:tcPr>
          <w:p w14:paraId="7132B067">
            <w:pPr>
              <w:spacing w:before="0" w:after="0"/>
              <w:jc w:val="center"/>
            </w:pPr>
            <w:r>
              <w:rPr>
                <w:rFonts w:ascii="宋体" w:hAnsi="宋体" w:eastAsia="宋体"/>
                <w:sz w:val="21"/>
              </w:rPr>
              <w:t>3500</w:t>
            </w:r>
          </w:p>
        </w:tc>
        <w:tc>
          <w:tcPr>
            <w:tcW w:w="1881" w:type="dxa"/>
            <w:vAlign w:val="center"/>
          </w:tcPr>
          <w:p w14:paraId="21C5E222">
            <w:pPr>
              <w:spacing w:before="0" w:after="0"/>
              <w:jc w:val="center"/>
            </w:pPr>
            <w:r>
              <w:rPr>
                <w:rFonts w:ascii="宋体" w:hAnsi="宋体" w:eastAsia="宋体"/>
                <w:sz w:val="21"/>
              </w:rPr>
              <w:t>1.00</w:t>
            </w:r>
          </w:p>
        </w:tc>
        <w:tc>
          <w:tcPr>
            <w:tcW w:w="1881" w:type="dxa"/>
            <w:vAlign w:val="center"/>
          </w:tcPr>
          <w:p w14:paraId="2317D4A3">
            <w:pPr>
              <w:spacing w:before="0" w:after="0"/>
              <w:jc w:val="center"/>
            </w:pPr>
            <w:r>
              <w:rPr>
                <w:rFonts w:ascii="宋体" w:hAnsi="宋体" w:eastAsia="宋体"/>
                <w:sz w:val="21"/>
              </w:rPr>
              <w:t>1.00</w:t>
            </w:r>
          </w:p>
        </w:tc>
        <w:tc>
          <w:tcPr>
            <w:tcW w:w="1881" w:type="dxa"/>
            <w:vAlign w:val="center"/>
          </w:tcPr>
          <w:p w14:paraId="201FAEF1">
            <w:pPr>
              <w:spacing w:before="0" w:after="0"/>
              <w:jc w:val="center"/>
            </w:pPr>
            <w:r>
              <w:rPr>
                <w:rFonts w:ascii="宋体" w:hAnsi="宋体" w:eastAsia="宋体"/>
                <w:sz w:val="21"/>
              </w:rPr>
              <w:t>0.869</w:t>
            </w:r>
          </w:p>
        </w:tc>
      </w:tr>
      <w:tr w14:paraId="6BA54D94">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26EA8D7E">
            <w:pPr>
              <w:spacing w:before="0" w:after="0"/>
              <w:jc w:val="center"/>
            </w:pPr>
            <w:r>
              <w:rPr>
                <w:rFonts w:ascii="Times New Roman" w:hAnsi="Times New Roman"/>
                <w:sz w:val="21"/>
              </w:rPr>
              <w:t>F</w:t>
            </w:r>
          </w:p>
        </w:tc>
        <w:tc>
          <w:tcPr>
            <w:tcW w:w="1881" w:type="dxa"/>
            <w:vAlign w:val="center"/>
          </w:tcPr>
          <w:p w14:paraId="7C112194">
            <w:pPr>
              <w:spacing w:before="0" w:after="0"/>
              <w:jc w:val="center"/>
            </w:pPr>
            <w:r>
              <w:rPr>
                <w:rFonts w:ascii="宋体" w:hAnsi="宋体" w:eastAsia="宋体"/>
                <w:sz w:val="21"/>
              </w:rPr>
              <w:t>2700</w:t>
            </w:r>
          </w:p>
        </w:tc>
        <w:tc>
          <w:tcPr>
            <w:tcW w:w="1881" w:type="dxa"/>
            <w:vAlign w:val="center"/>
          </w:tcPr>
          <w:p w14:paraId="44305E11">
            <w:pPr>
              <w:spacing w:before="0" w:after="0"/>
              <w:jc w:val="center"/>
            </w:pPr>
            <w:r>
              <w:rPr>
                <w:rFonts w:ascii="宋体" w:hAnsi="宋体" w:eastAsia="宋体"/>
                <w:sz w:val="21"/>
              </w:rPr>
              <w:t>1.00</w:t>
            </w:r>
          </w:p>
        </w:tc>
        <w:tc>
          <w:tcPr>
            <w:tcW w:w="1881" w:type="dxa"/>
            <w:vAlign w:val="center"/>
          </w:tcPr>
          <w:p w14:paraId="390A181D">
            <w:pPr>
              <w:spacing w:before="0" w:after="0"/>
              <w:jc w:val="center"/>
            </w:pPr>
            <w:r>
              <w:rPr>
                <w:rFonts w:ascii="宋体" w:hAnsi="宋体" w:eastAsia="宋体"/>
                <w:sz w:val="21"/>
              </w:rPr>
              <w:t>0.821</w:t>
            </w:r>
          </w:p>
        </w:tc>
        <w:tc>
          <w:tcPr>
            <w:tcW w:w="1881" w:type="dxa"/>
            <w:vAlign w:val="center"/>
          </w:tcPr>
          <w:p w14:paraId="361E0086">
            <w:pPr>
              <w:spacing w:before="0" w:after="0"/>
              <w:jc w:val="center"/>
            </w:pPr>
            <w:r>
              <w:rPr>
                <w:rFonts w:ascii="宋体" w:hAnsi="宋体" w:eastAsia="宋体"/>
                <w:sz w:val="21"/>
              </w:rPr>
              <w:t>0.671</w:t>
            </w:r>
          </w:p>
        </w:tc>
      </w:tr>
      <w:tr w14:paraId="464D3050">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4F321A25">
            <w:pPr>
              <w:spacing w:before="0" w:after="0"/>
              <w:jc w:val="center"/>
            </w:pPr>
            <w:r>
              <w:rPr>
                <w:rFonts w:ascii="Times New Roman" w:hAnsi="Times New Roman"/>
                <w:sz w:val="21"/>
              </w:rPr>
              <w:t>G</w:t>
            </w:r>
          </w:p>
        </w:tc>
        <w:tc>
          <w:tcPr>
            <w:tcW w:w="1881" w:type="dxa"/>
            <w:vAlign w:val="center"/>
          </w:tcPr>
          <w:p w14:paraId="140636BC">
            <w:pPr>
              <w:spacing w:before="0" w:after="0"/>
              <w:jc w:val="center"/>
            </w:pPr>
            <w:r>
              <w:rPr>
                <w:rFonts w:ascii="宋体" w:hAnsi="宋体" w:eastAsia="宋体"/>
                <w:sz w:val="21"/>
              </w:rPr>
              <w:t>3600</w:t>
            </w:r>
          </w:p>
        </w:tc>
        <w:tc>
          <w:tcPr>
            <w:tcW w:w="1881" w:type="dxa"/>
            <w:vAlign w:val="center"/>
          </w:tcPr>
          <w:p w14:paraId="67E3C9CA">
            <w:pPr>
              <w:spacing w:before="0" w:after="0"/>
              <w:jc w:val="center"/>
            </w:pPr>
            <w:r>
              <w:rPr>
                <w:rFonts w:ascii="宋体" w:hAnsi="宋体" w:eastAsia="宋体"/>
                <w:sz w:val="21"/>
              </w:rPr>
              <w:t>1.00</w:t>
            </w:r>
          </w:p>
        </w:tc>
        <w:tc>
          <w:tcPr>
            <w:tcW w:w="1881" w:type="dxa"/>
            <w:vAlign w:val="center"/>
          </w:tcPr>
          <w:p w14:paraId="059531DC">
            <w:pPr>
              <w:spacing w:before="0" w:after="0"/>
              <w:jc w:val="center"/>
            </w:pPr>
            <w:r>
              <w:rPr>
                <w:rFonts w:ascii="宋体" w:hAnsi="宋体" w:eastAsia="宋体"/>
                <w:sz w:val="21"/>
              </w:rPr>
              <w:t>1.00</w:t>
            </w:r>
          </w:p>
        </w:tc>
        <w:tc>
          <w:tcPr>
            <w:tcW w:w="1881" w:type="dxa"/>
            <w:vAlign w:val="center"/>
          </w:tcPr>
          <w:p w14:paraId="74F9EC31">
            <w:pPr>
              <w:spacing w:before="0" w:after="0"/>
              <w:jc w:val="center"/>
            </w:pPr>
            <w:r>
              <w:rPr>
                <w:rFonts w:ascii="宋体" w:hAnsi="宋体" w:eastAsia="宋体"/>
                <w:sz w:val="21"/>
              </w:rPr>
              <w:t>0.894</w:t>
            </w:r>
          </w:p>
        </w:tc>
      </w:tr>
      <w:tr w14:paraId="5F51B740">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3D77EBE9">
            <w:pPr>
              <w:spacing w:before="0" w:after="0"/>
              <w:jc w:val="center"/>
            </w:pPr>
            <w:r>
              <w:rPr>
                <w:rFonts w:ascii="Times New Roman" w:hAnsi="Times New Roman"/>
                <w:sz w:val="21"/>
              </w:rPr>
              <w:t>H</w:t>
            </w:r>
          </w:p>
        </w:tc>
        <w:tc>
          <w:tcPr>
            <w:tcW w:w="1881" w:type="dxa"/>
            <w:vAlign w:val="center"/>
          </w:tcPr>
          <w:p w14:paraId="73CB2697">
            <w:pPr>
              <w:spacing w:before="0" w:after="0"/>
              <w:jc w:val="center"/>
            </w:pPr>
            <w:r>
              <w:rPr>
                <w:rFonts w:ascii="宋体" w:hAnsi="宋体" w:eastAsia="宋体"/>
                <w:sz w:val="21"/>
              </w:rPr>
              <w:t>3000</w:t>
            </w:r>
          </w:p>
        </w:tc>
        <w:tc>
          <w:tcPr>
            <w:tcW w:w="1881" w:type="dxa"/>
            <w:vAlign w:val="center"/>
          </w:tcPr>
          <w:p w14:paraId="69A04AF9">
            <w:pPr>
              <w:spacing w:before="0" w:after="0"/>
              <w:jc w:val="center"/>
            </w:pPr>
            <w:r>
              <w:rPr>
                <w:rFonts w:ascii="宋体" w:hAnsi="宋体" w:eastAsia="宋体"/>
                <w:sz w:val="21"/>
              </w:rPr>
              <w:t>1.00</w:t>
            </w:r>
          </w:p>
        </w:tc>
        <w:tc>
          <w:tcPr>
            <w:tcW w:w="1881" w:type="dxa"/>
            <w:vAlign w:val="center"/>
          </w:tcPr>
          <w:p w14:paraId="58CB75CF">
            <w:pPr>
              <w:spacing w:before="0" w:after="0"/>
              <w:jc w:val="center"/>
            </w:pPr>
            <w:r>
              <w:rPr>
                <w:rFonts w:ascii="宋体" w:hAnsi="宋体" w:eastAsia="宋体"/>
                <w:sz w:val="21"/>
              </w:rPr>
              <w:t>0.912</w:t>
            </w:r>
          </w:p>
        </w:tc>
        <w:tc>
          <w:tcPr>
            <w:tcW w:w="1881" w:type="dxa"/>
            <w:vAlign w:val="center"/>
          </w:tcPr>
          <w:p w14:paraId="78EB921B">
            <w:pPr>
              <w:spacing w:before="0" w:after="0"/>
              <w:jc w:val="center"/>
            </w:pPr>
            <w:r>
              <w:rPr>
                <w:rFonts w:ascii="宋体" w:hAnsi="宋体" w:eastAsia="宋体"/>
                <w:sz w:val="21"/>
              </w:rPr>
              <w:t>0.745</w:t>
            </w:r>
          </w:p>
        </w:tc>
      </w:tr>
      <w:tr w14:paraId="17FCC3AF">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23BC6D8E">
            <w:pPr>
              <w:spacing w:before="0" w:after="0"/>
              <w:jc w:val="center"/>
            </w:pPr>
            <w:r>
              <w:rPr>
                <w:rFonts w:ascii="Times New Roman" w:hAnsi="Times New Roman"/>
                <w:sz w:val="21"/>
              </w:rPr>
              <w:t>I</w:t>
            </w:r>
          </w:p>
        </w:tc>
        <w:tc>
          <w:tcPr>
            <w:tcW w:w="1881" w:type="dxa"/>
            <w:vAlign w:val="center"/>
          </w:tcPr>
          <w:p w14:paraId="001E5D0A">
            <w:pPr>
              <w:spacing w:before="0" w:after="0"/>
              <w:jc w:val="center"/>
            </w:pPr>
            <w:r>
              <w:rPr>
                <w:rFonts w:ascii="宋体" w:hAnsi="宋体" w:eastAsia="宋体"/>
                <w:sz w:val="21"/>
              </w:rPr>
              <w:t>3300</w:t>
            </w:r>
          </w:p>
        </w:tc>
        <w:tc>
          <w:tcPr>
            <w:tcW w:w="1881" w:type="dxa"/>
            <w:vAlign w:val="center"/>
          </w:tcPr>
          <w:p w14:paraId="261704D6">
            <w:pPr>
              <w:spacing w:before="0" w:after="0"/>
              <w:jc w:val="center"/>
            </w:pPr>
            <w:r>
              <w:rPr>
                <w:rFonts w:ascii="宋体" w:hAnsi="宋体" w:eastAsia="宋体"/>
                <w:sz w:val="21"/>
              </w:rPr>
              <w:t>1.00</w:t>
            </w:r>
          </w:p>
        </w:tc>
        <w:tc>
          <w:tcPr>
            <w:tcW w:w="1881" w:type="dxa"/>
            <w:vAlign w:val="center"/>
          </w:tcPr>
          <w:p w14:paraId="48365ACD">
            <w:pPr>
              <w:spacing w:before="0" w:after="0"/>
              <w:jc w:val="center"/>
            </w:pPr>
            <w:r>
              <w:rPr>
                <w:rFonts w:ascii="宋体" w:hAnsi="宋体" w:eastAsia="宋体"/>
                <w:sz w:val="21"/>
              </w:rPr>
              <w:t>1.00</w:t>
            </w:r>
          </w:p>
        </w:tc>
        <w:tc>
          <w:tcPr>
            <w:tcW w:w="1881" w:type="dxa"/>
            <w:vAlign w:val="center"/>
          </w:tcPr>
          <w:p w14:paraId="024CC298">
            <w:pPr>
              <w:spacing w:before="0" w:after="0"/>
              <w:jc w:val="center"/>
            </w:pPr>
            <w:r>
              <w:rPr>
                <w:rFonts w:ascii="宋体" w:hAnsi="宋体" w:eastAsia="宋体"/>
                <w:sz w:val="21"/>
              </w:rPr>
              <w:t>0.820</w:t>
            </w:r>
          </w:p>
        </w:tc>
      </w:tr>
      <w:tr w14:paraId="7DE0297D">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7778C6B4">
            <w:pPr>
              <w:spacing w:before="0" w:after="0"/>
              <w:jc w:val="center"/>
            </w:pPr>
            <w:r>
              <w:rPr>
                <w:rFonts w:ascii="Times New Roman" w:hAnsi="Times New Roman"/>
                <w:sz w:val="21"/>
              </w:rPr>
              <w:t>J</w:t>
            </w:r>
          </w:p>
        </w:tc>
        <w:tc>
          <w:tcPr>
            <w:tcW w:w="1881" w:type="dxa"/>
            <w:vAlign w:val="center"/>
          </w:tcPr>
          <w:p w14:paraId="117ADB6C">
            <w:pPr>
              <w:spacing w:before="0" w:after="0"/>
              <w:jc w:val="center"/>
            </w:pPr>
            <w:r>
              <w:rPr>
                <w:rFonts w:ascii="宋体" w:hAnsi="宋体" w:eastAsia="宋体"/>
                <w:sz w:val="21"/>
              </w:rPr>
              <w:t>3200</w:t>
            </w:r>
          </w:p>
        </w:tc>
        <w:tc>
          <w:tcPr>
            <w:tcW w:w="1881" w:type="dxa"/>
            <w:vAlign w:val="center"/>
          </w:tcPr>
          <w:p w14:paraId="017D416E">
            <w:pPr>
              <w:spacing w:before="0" w:after="0"/>
              <w:jc w:val="center"/>
            </w:pPr>
            <w:r>
              <w:rPr>
                <w:rFonts w:ascii="宋体" w:hAnsi="宋体" w:eastAsia="宋体"/>
                <w:sz w:val="21"/>
              </w:rPr>
              <w:t>1.00</w:t>
            </w:r>
          </w:p>
        </w:tc>
        <w:tc>
          <w:tcPr>
            <w:tcW w:w="1881" w:type="dxa"/>
            <w:vAlign w:val="center"/>
          </w:tcPr>
          <w:p w14:paraId="777BF62F">
            <w:pPr>
              <w:spacing w:before="0" w:after="0"/>
              <w:jc w:val="center"/>
            </w:pPr>
            <w:r>
              <w:rPr>
                <w:rFonts w:ascii="宋体" w:hAnsi="宋体" w:eastAsia="宋体"/>
                <w:sz w:val="21"/>
              </w:rPr>
              <w:t>0.973</w:t>
            </w:r>
          </w:p>
        </w:tc>
        <w:tc>
          <w:tcPr>
            <w:tcW w:w="1881" w:type="dxa"/>
            <w:vAlign w:val="center"/>
          </w:tcPr>
          <w:p w14:paraId="79248794">
            <w:pPr>
              <w:spacing w:before="0" w:after="0"/>
              <w:jc w:val="center"/>
            </w:pPr>
            <w:r>
              <w:rPr>
                <w:rFonts w:ascii="宋体" w:hAnsi="宋体" w:eastAsia="宋体"/>
                <w:sz w:val="21"/>
              </w:rPr>
              <w:t>0.795</w:t>
            </w:r>
          </w:p>
        </w:tc>
      </w:tr>
    </w:tbl>
    <w:p w14:paraId="3A54A093">
      <w:pPr>
        <w:jc w:val="center"/>
      </w:pPr>
      <w:r>
        <w:drawing>
          <wp:inline distT="0" distB="0" distL="114300" distR="114300">
            <wp:extent cx="4206240" cy="2934970"/>
            <wp:effectExtent l="0" t="0" r="1016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206240" cy="2935051"/>
                    </a:xfrm>
                    <a:prstGeom prst="rect">
                      <a:avLst/>
                    </a:prstGeom>
                  </pic:spPr>
                </pic:pic>
              </a:graphicData>
            </a:graphic>
          </wp:inline>
        </w:drawing>
      </w:r>
    </w:p>
    <w:p w14:paraId="0A2E9707">
      <w:pPr>
        <w:jc w:val="center"/>
      </w:pPr>
      <w:r>
        <w:rPr>
          <w:rFonts w:ascii="宋体" w:hAnsi="宋体" w:eastAsia="宋体"/>
          <w:b/>
          <w:sz w:val="21"/>
        </w:rPr>
        <w:t>图2  α矩阵热力图（自理无约束；失能均受限）</w:t>
      </w:r>
    </w:p>
    <w:p w14:paraId="147B92EB">
      <w:pPr>
        <w:spacing w:line="360" w:lineRule="auto"/>
        <w:ind w:firstLine="480"/>
      </w:pPr>
      <w:r>
        <w:rPr>
          <w:rFonts w:ascii="Times New Roman" w:hAnsi="Times New Roman" w:eastAsia="宋体"/>
          <w:sz w:val="24"/>
        </w:rPr>
        <w:t>图2以热力图展示α矩阵。深色区域集中在失能列(D列)，所有10个小区失能老人均面临消费削减；半失能列(B~F低收入小区)存在中度约束。收入最低的F区（2700元）失能α低至0.671，即近33%的服务需求因经济原因被抑制。</w:t>
      </w:r>
    </w:p>
    <w:p w14:paraId="2C0A7264">
      <w:pPr>
        <w:jc w:val="center"/>
      </w:pPr>
      <w:r>
        <w:drawing>
          <wp:inline distT="0" distB="0" distL="114300" distR="114300">
            <wp:extent cx="4206240" cy="2609215"/>
            <wp:effectExtent l="0" t="0" r="1016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206240" cy="2609596"/>
                    </a:xfrm>
                    <a:prstGeom prst="rect">
                      <a:avLst/>
                    </a:prstGeom>
                  </pic:spPr>
                </pic:pic>
              </a:graphicData>
            </a:graphic>
          </wp:inline>
        </w:drawing>
      </w:r>
    </w:p>
    <w:p w14:paraId="2869048A">
      <w:pPr>
        <w:jc w:val="center"/>
      </w:pPr>
      <w:r>
        <w:rPr>
          <w:rFonts w:ascii="宋体" w:hAnsi="宋体" w:eastAsia="宋体"/>
          <w:b/>
          <w:sz w:val="21"/>
        </w:rPr>
        <w:t>图3  人均月消费剖面（虚线为消费上限参考线）</w:t>
      </w:r>
    </w:p>
    <w:p w14:paraId="598F6875">
      <w:pPr>
        <w:spacing w:line="360" w:lineRule="auto"/>
        <w:ind w:firstLine="480"/>
      </w:pPr>
      <w:r>
        <w:rPr>
          <w:rFonts w:ascii="Times New Roman" w:hAnsi="Times New Roman" w:eastAsia="宋体"/>
          <w:sz w:val="24"/>
        </w:rPr>
        <w:t>图3的点线剖面直观展示了消费约束的作用机制：失能老人的上门护理(360元)和日间照料(360元)两项已超过自理老人全月消费。两条水平虚线标示自理(356元)和半失能(822元)的消费上限——失能老人月消费1208元远超所有参考线，是消费约束生效的根源。</w:t>
      </w:r>
    </w:p>
    <w:p w14:paraId="3D9968CC">
      <w:pPr>
        <w:jc w:val="center"/>
      </w:pPr>
      <w:r>
        <w:drawing>
          <wp:inline distT="0" distB="0" distL="114300" distR="114300">
            <wp:extent cx="4206240" cy="2294255"/>
            <wp:effectExtent l="0" t="0" r="1016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206240" cy="2294313"/>
                    </a:xfrm>
                    <a:prstGeom prst="rect">
                      <a:avLst/>
                    </a:prstGeom>
                  </pic:spPr>
                </pic:pic>
              </a:graphicData>
            </a:graphic>
          </wp:inline>
        </w:drawing>
      </w:r>
    </w:p>
    <w:p w14:paraId="590D5F04">
      <w:pPr>
        <w:jc w:val="center"/>
      </w:pPr>
      <w:r>
        <w:rPr>
          <w:rFonts w:ascii="宋体" w:hAnsi="宋体" w:eastAsia="宋体"/>
          <w:b/>
          <w:sz w:val="21"/>
        </w:rPr>
        <w:t>图4  老年人口Markov三态转移示意图</w:t>
      </w:r>
    </w:p>
    <w:p w14:paraId="38D234AD">
      <w:pPr>
        <w:spacing w:before="160" w:after="60"/>
      </w:pPr>
      <w:r>
        <w:rPr>
          <w:rFonts w:ascii="黑体" w:hAnsi="黑体" w:eastAsia="黑体"/>
          <w:b/>
          <w:sz w:val="28"/>
        </w:rPr>
        <w:t>4.3 服务需求量预测</w:t>
      </w:r>
    </w:p>
    <w:p w14:paraId="15AC4410">
      <w:pPr>
        <w:spacing w:line="360" w:lineRule="auto"/>
        <w:ind w:firstLine="480"/>
      </w:pPr>
      <w:r>
        <w:rPr>
          <w:rFonts w:ascii="Times New Roman" w:hAnsi="Times New Roman" w:eastAsia="宋体"/>
          <w:sz w:val="24"/>
        </w:rPr>
        <w:t>基于人口预测与附件2的服务次数标准，将第5年末人口结构转化为日均服务需求量。设小区i在第t年末类别c老人数为N_{i,c}(t)，附件2给定类别c老人对服务k的月均需求次数为f_{c,k}，经消费约束α缩放后，日均需求量D_{i,k}=ΣN_{i,c}·f_{c,k}·α_{i,c}/30。</w:t>
      </w:r>
    </w:p>
    <w:p w14:paraId="33B0642C">
      <w:pPr>
        <w:spacing w:line="360" w:lineRule="auto"/>
        <w:ind w:firstLine="480"/>
      </w:pPr>
      <w:r>
        <w:rPr>
          <w:rFonts w:ascii="Times New Roman" w:hAnsi="Times New Roman" w:eastAsia="宋体"/>
          <w:sz w:val="24"/>
        </w:rPr>
        <w:t>汇总10小区后，第5年末六类服务日均需求如表14所示。失能相关的高专业性服务（上门护理、紧急救助）需求占比虽仅10.5%，但单次资源消耗大且增速最快，是容量规划的关键约束。上门护理与紧急救助两项合计860人次/日，相当于4.3个小型站的全部产能，从需求侧解释了选址方案中双中型枢纽的合理性。</w:t>
      </w:r>
    </w:p>
    <w:p w14:paraId="1CA2F1F1">
      <w:pPr>
        <w:spacing w:before="80"/>
        <w:jc w:val="center"/>
      </w:pPr>
      <w:r>
        <w:rPr>
          <w:rFonts w:ascii="宋体" w:hAnsi="宋体" w:eastAsia="宋体"/>
          <w:b/>
          <w:sz w:val="21"/>
        </w:rPr>
        <w:t>表4  第5年末六类服务日均需求（人次/日）</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1568"/>
        <w:gridCol w:w="1568"/>
        <w:gridCol w:w="1568"/>
        <w:gridCol w:w="1568"/>
        <w:gridCol w:w="1568"/>
        <w:gridCol w:w="1568"/>
      </w:tblGrid>
      <w:tr w14:paraId="700B108D">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tcBorders>
              <w:bottom w:val="single" w:color="000000" w:sz="6" w:space="0"/>
            </w:tcBorders>
            <w:vAlign w:val="center"/>
          </w:tcPr>
          <w:p w14:paraId="672E4AA4">
            <w:pPr>
              <w:spacing w:before="0" w:after="0"/>
              <w:jc w:val="center"/>
            </w:pPr>
            <w:r>
              <w:rPr>
                <w:rFonts w:ascii="宋体" w:hAnsi="宋体" w:eastAsia="宋体"/>
                <w:b/>
                <w:sz w:val="21"/>
              </w:rPr>
              <w:t>服务类别</w:t>
            </w:r>
          </w:p>
        </w:tc>
        <w:tc>
          <w:tcPr>
            <w:tcW w:w="1568" w:type="dxa"/>
            <w:tcBorders>
              <w:bottom w:val="single" w:color="000000" w:sz="6" w:space="0"/>
            </w:tcBorders>
            <w:vAlign w:val="center"/>
          </w:tcPr>
          <w:p w14:paraId="3EE598AF">
            <w:pPr>
              <w:spacing w:before="0" w:after="0"/>
              <w:jc w:val="center"/>
            </w:pPr>
            <w:r>
              <w:rPr>
                <w:rFonts w:ascii="宋体" w:hAnsi="宋体" w:eastAsia="宋体"/>
                <w:b/>
                <w:sz w:val="21"/>
              </w:rPr>
              <w:t>自理需求</w:t>
            </w:r>
          </w:p>
        </w:tc>
        <w:tc>
          <w:tcPr>
            <w:tcW w:w="1568" w:type="dxa"/>
            <w:tcBorders>
              <w:bottom w:val="single" w:color="000000" w:sz="6" w:space="0"/>
            </w:tcBorders>
            <w:vAlign w:val="center"/>
          </w:tcPr>
          <w:p w14:paraId="175F49E1">
            <w:pPr>
              <w:spacing w:before="0" w:after="0"/>
              <w:jc w:val="center"/>
            </w:pPr>
            <w:r>
              <w:rPr>
                <w:rFonts w:ascii="宋体" w:hAnsi="宋体" w:eastAsia="宋体"/>
                <w:b/>
                <w:sz w:val="21"/>
              </w:rPr>
              <w:t>半失能需求</w:t>
            </w:r>
          </w:p>
        </w:tc>
        <w:tc>
          <w:tcPr>
            <w:tcW w:w="1568" w:type="dxa"/>
            <w:tcBorders>
              <w:bottom w:val="single" w:color="000000" w:sz="6" w:space="0"/>
            </w:tcBorders>
            <w:vAlign w:val="center"/>
          </w:tcPr>
          <w:p w14:paraId="4A47F19A">
            <w:pPr>
              <w:spacing w:before="0" w:after="0"/>
              <w:jc w:val="center"/>
            </w:pPr>
            <w:r>
              <w:rPr>
                <w:rFonts w:ascii="宋体" w:hAnsi="宋体" w:eastAsia="宋体"/>
                <w:b/>
                <w:sz w:val="21"/>
              </w:rPr>
              <w:t>失能需求</w:t>
            </w:r>
          </w:p>
        </w:tc>
        <w:tc>
          <w:tcPr>
            <w:tcW w:w="1568" w:type="dxa"/>
            <w:tcBorders>
              <w:bottom w:val="single" w:color="000000" w:sz="6" w:space="0"/>
            </w:tcBorders>
            <w:vAlign w:val="center"/>
          </w:tcPr>
          <w:p w14:paraId="005CA1A4">
            <w:pPr>
              <w:spacing w:before="0" w:after="0"/>
              <w:jc w:val="center"/>
            </w:pPr>
            <w:r>
              <w:rPr>
                <w:rFonts w:ascii="宋体" w:hAnsi="宋体" w:eastAsia="宋体"/>
                <w:b/>
                <w:sz w:val="21"/>
              </w:rPr>
              <w:t>合计</w:t>
            </w:r>
          </w:p>
        </w:tc>
        <w:tc>
          <w:tcPr>
            <w:tcW w:w="1568" w:type="dxa"/>
            <w:tcBorders>
              <w:bottom w:val="single" w:color="000000" w:sz="6" w:space="0"/>
            </w:tcBorders>
            <w:vAlign w:val="center"/>
          </w:tcPr>
          <w:p w14:paraId="2C878D40">
            <w:pPr>
              <w:spacing w:before="0" w:after="0"/>
              <w:jc w:val="center"/>
            </w:pPr>
            <w:r>
              <w:rPr>
                <w:rFonts w:ascii="宋体" w:hAnsi="宋体" w:eastAsia="宋体"/>
                <w:b/>
                <w:sz w:val="21"/>
              </w:rPr>
              <w:t>占比</w:t>
            </w:r>
          </w:p>
        </w:tc>
      </w:tr>
      <w:tr w14:paraId="701B4BB8">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68EDD0DF">
            <w:pPr>
              <w:spacing w:before="0" w:after="0"/>
              <w:jc w:val="center"/>
            </w:pPr>
            <w:r>
              <w:rPr>
                <w:rFonts w:ascii="宋体" w:hAnsi="宋体" w:eastAsia="宋体"/>
                <w:sz w:val="21"/>
              </w:rPr>
              <w:t>助餐</w:t>
            </w:r>
          </w:p>
        </w:tc>
        <w:tc>
          <w:tcPr>
            <w:tcW w:w="1568" w:type="dxa"/>
            <w:vAlign w:val="center"/>
          </w:tcPr>
          <w:p w14:paraId="3B5A5799">
            <w:pPr>
              <w:spacing w:before="0" w:after="0"/>
              <w:jc w:val="center"/>
            </w:pPr>
            <w:r>
              <w:rPr>
                <w:rFonts w:ascii="宋体" w:hAnsi="宋体" w:eastAsia="宋体"/>
                <w:sz w:val="21"/>
              </w:rPr>
              <w:t>2228</w:t>
            </w:r>
          </w:p>
        </w:tc>
        <w:tc>
          <w:tcPr>
            <w:tcW w:w="1568" w:type="dxa"/>
            <w:vAlign w:val="center"/>
          </w:tcPr>
          <w:p w14:paraId="523E6D9C">
            <w:pPr>
              <w:spacing w:before="0" w:after="0"/>
              <w:jc w:val="center"/>
            </w:pPr>
            <w:r>
              <w:rPr>
                <w:rFonts w:ascii="宋体" w:hAnsi="宋体" w:eastAsia="宋体"/>
                <w:sz w:val="21"/>
              </w:rPr>
              <w:t>986</w:t>
            </w:r>
          </w:p>
        </w:tc>
        <w:tc>
          <w:tcPr>
            <w:tcW w:w="1568" w:type="dxa"/>
            <w:vAlign w:val="center"/>
          </w:tcPr>
          <w:p w14:paraId="7D431B6A">
            <w:pPr>
              <w:spacing w:before="0" w:after="0"/>
              <w:jc w:val="center"/>
            </w:pPr>
            <w:r>
              <w:rPr>
                <w:rFonts w:ascii="宋体" w:hAnsi="宋体" w:eastAsia="宋体"/>
                <w:sz w:val="21"/>
              </w:rPr>
              <w:t>688</w:t>
            </w:r>
          </w:p>
        </w:tc>
        <w:tc>
          <w:tcPr>
            <w:tcW w:w="1568" w:type="dxa"/>
            <w:vAlign w:val="center"/>
          </w:tcPr>
          <w:p w14:paraId="5E41F998">
            <w:pPr>
              <w:spacing w:before="0" w:after="0"/>
              <w:jc w:val="center"/>
            </w:pPr>
            <w:r>
              <w:rPr>
                <w:rFonts w:ascii="宋体" w:hAnsi="宋体" w:eastAsia="宋体"/>
                <w:sz w:val="21"/>
              </w:rPr>
              <w:t>3902</w:t>
            </w:r>
          </w:p>
        </w:tc>
        <w:tc>
          <w:tcPr>
            <w:tcW w:w="1568" w:type="dxa"/>
            <w:vAlign w:val="center"/>
          </w:tcPr>
          <w:p w14:paraId="7F1AFCFE">
            <w:pPr>
              <w:spacing w:before="0" w:after="0"/>
              <w:jc w:val="center"/>
            </w:pPr>
            <w:r>
              <w:rPr>
                <w:rFonts w:ascii="宋体" w:hAnsi="宋体" w:eastAsia="宋体"/>
                <w:sz w:val="21"/>
              </w:rPr>
              <w:t>47.5%</w:t>
            </w:r>
          </w:p>
        </w:tc>
      </w:tr>
      <w:tr w14:paraId="5B69718E">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112A33AF">
            <w:pPr>
              <w:spacing w:before="0" w:after="0"/>
              <w:jc w:val="center"/>
            </w:pPr>
            <w:r>
              <w:rPr>
                <w:rFonts w:ascii="宋体" w:hAnsi="宋体" w:eastAsia="宋体"/>
                <w:sz w:val="21"/>
              </w:rPr>
              <w:t>日间照料</w:t>
            </w:r>
          </w:p>
        </w:tc>
        <w:tc>
          <w:tcPr>
            <w:tcW w:w="1568" w:type="dxa"/>
            <w:vAlign w:val="center"/>
          </w:tcPr>
          <w:p w14:paraId="31C2055F">
            <w:pPr>
              <w:spacing w:before="0" w:after="0"/>
              <w:jc w:val="center"/>
            </w:pPr>
            <w:r>
              <w:rPr>
                <w:rFonts w:ascii="宋体" w:hAnsi="宋体" w:eastAsia="宋体"/>
                <w:sz w:val="21"/>
              </w:rPr>
              <w:t>1273</w:t>
            </w:r>
          </w:p>
        </w:tc>
        <w:tc>
          <w:tcPr>
            <w:tcW w:w="1568" w:type="dxa"/>
            <w:vAlign w:val="center"/>
          </w:tcPr>
          <w:p w14:paraId="21E5FFF9">
            <w:pPr>
              <w:spacing w:before="0" w:after="0"/>
              <w:jc w:val="center"/>
            </w:pPr>
            <w:r>
              <w:rPr>
                <w:rFonts w:ascii="宋体" w:hAnsi="宋体" w:eastAsia="宋体"/>
                <w:sz w:val="21"/>
              </w:rPr>
              <w:t>690</w:t>
            </w:r>
          </w:p>
        </w:tc>
        <w:tc>
          <w:tcPr>
            <w:tcW w:w="1568" w:type="dxa"/>
            <w:vAlign w:val="center"/>
          </w:tcPr>
          <w:p w14:paraId="0C1E49FA">
            <w:pPr>
              <w:spacing w:before="0" w:after="0"/>
              <w:jc w:val="center"/>
            </w:pPr>
            <w:r>
              <w:rPr>
                <w:rFonts w:ascii="宋体" w:hAnsi="宋体" w:eastAsia="宋体"/>
                <w:sz w:val="21"/>
              </w:rPr>
              <w:t>563</w:t>
            </w:r>
          </w:p>
        </w:tc>
        <w:tc>
          <w:tcPr>
            <w:tcW w:w="1568" w:type="dxa"/>
            <w:vAlign w:val="center"/>
          </w:tcPr>
          <w:p w14:paraId="5E40423E">
            <w:pPr>
              <w:spacing w:before="0" w:after="0"/>
              <w:jc w:val="center"/>
            </w:pPr>
            <w:r>
              <w:rPr>
                <w:rFonts w:ascii="宋体" w:hAnsi="宋体" w:eastAsia="宋体"/>
                <w:sz w:val="21"/>
              </w:rPr>
              <w:t>2526</w:t>
            </w:r>
          </w:p>
        </w:tc>
        <w:tc>
          <w:tcPr>
            <w:tcW w:w="1568" w:type="dxa"/>
            <w:vAlign w:val="center"/>
          </w:tcPr>
          <w:p w14:paraId="2BFF2FA4">
            <w:pPr>
              <w:spacing w:before="0" w:after="0"/>
              <w:jc w:val="center"/>
            </w:pPr>
            <w:r>
              <w:rPr>
                <w:rFonts w:ascii="宋体" w:hAnsi="宋体" w:eastAsia="宋体"/>
                <w:sz w:val="21"/>
              </w:rPr>
              <w:t>30.8%</w:t>
            </w:r>
          </w:p>
        </w:tc>
      </w:tr>
      <w:tr w14:paraId="54F44D12">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54E69DCB">
            <w:pPr>
              <w:spacing w:before="0" w:after="0"/>
              <w:jc w:val="center"/>
            </w:pPr>
            <w:r>
              <w:rPr>
                <w:rFonts w:ascii="宋体" w:hAnsi="宋体" w:eastAsia="宋体"/>
                <w:sz w:val="21"/>
              </w:rPr>
              <w:t>上门护理</w:t>
            </w:r>
          </w:p>
        </w:tc>
        <w:tc>
          <w:tcPr>
            <w:tcW w:w="1568" w:type="dxa"/>
            <w:vAlign w:val="center"/>
          </w:tcPr>
          <w:p w14:paraId="7B04210F">
            <w:pPr>
              <w:spacing w:before="0" w:after="0"/>
              <w:jc w:val="center"/>
            </w:pPr>
            <w:r>
              <w:rPr>
                <w:rFonts w:ascii="宋体" w:hAnsi="宋体" w:eastAsia="宋体"/>
                <w:sz w:val="21"/>
              </w:rPr>
              <w:t>0</w:t>
            </w:r>
          </w:p>
        </w:tc>
        <w:tc>
          <w:tcPr>
            <w:tcW w:w="1568" w:type="dxa"/>
            <w:vAlign w:val="center"/>
          </w:tcPr>
          <w:p w14:paraId="6058CBA0">
            <w:pPr>
              <w:spacing w:before="0" w:after="0"/>
              <w:jc w:val="center"/>
            </w:pPr>
            <w:r>
              <w:rPr>
                <w:rFonts w:ascii="宋体" w:hAnsi="宋体" w:eastAsia="宋体"/>
                <w:sz w:val="21"/>
              </w:rPr>
              <w:t>296</w:t>
            </w:r>
          </w:p>
        </w:tc>
        <w:tc>
          <w:tcPr>
            <w:tcW w:w="1568" w:type="dxa"/>
            <w:vAlign w:val="center"/>
          </w:tcPr>
          <w:p w14:paraId="5D1EB9BF">
            <w:pPr>
              <w:spacing w:before="0" w:after="0"/>
              <w:jc w:val="center"/>
            </w:pPr>
            <w:r>
              <w:rPr>
                <w:rFonts w:ascii="宋体" w:hAnsi="宋体" w:eastAsia="宋体"/>
                <w:sz w:val="21"/>
              </w:rPr>
              <w:t>375</w:t>
            </w:r>
          </w:p>
        </w:tc>
        <w:tc>
          <w:tcPr>
            <w:tcW w:w="1568" w:type="dxa"/>
            <w:vAlign w:val="center"/>
          </w:tcPr>
          <w:p w14:paraId="16BB79ED">
            <w:pPr>
              <w:spacing w:before="0" w:after="0"/>
              <w:jc w:val="center"/>
            </w:pPr>
            <w:r>
              <w:rPr>
                <w:rFonts w:ascii="宋体" w:hAnsi="宋体" w:eastAsia="宋体"/>
                <w:sz w:val="21"/>
              </w:rPr>
              <w:t>671</w:t>
            </w:r>
          </w:p>
        </w:tc>
        <w:tc>
          <w:tcPr>
            <w:tcW w:w="1568" w:type="dxa"/>
            <w:vAlign w:val="center"/>
          </w:tcPr>
          <w:p w14:paraId="11B2D658">
            <w:pPr>
              <w:spacing w:before="0" w:after="0"/>
              <w:jc w:val="center"/>
            </w:pPr>
            <w:r>
              <w:rPr>
                <w:rFonts w:ascii="宋体" w:hAnsi="宋体" w:eastAsia="宋体"/>
                <w:sz w:val="21"/>
              </w:rPr>
              <w:t>8.2%</w:t>
            </w:r>
          </w:p>
        </w:tc>
      </w:tr>
      <w:tr w14:paraId="76B45AF8">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5F78A90B">
            <w:pPr>
              <w:spacing w:before="0" w:after="0"/>
              <w:jc w:val="center"/>
            </w:pPr>
            <w:r>
              <w:rPr>
                <w:rFonts w:ascii="宋体" w:hAnsi="宋体" w:eastAsia="宋体"/>
                <w:sz w:val="21"/>
              </w:rPr>
              <w:t>康复理疗</w:t>
            </w:r>
          </w:p>
        </w:tc>
        <w:tc>
          <w:tcPr>
            <w:tcW w:w="1568" w:type="dxa"/>
            <w:vAlign w:val="center"/>
          </w:tcPr>
          <w:p w14:paraId="66C14FED">
            <w:pPr>
              <w:spacing w:before="0" w:after="0"/>
              <w:jc w:val="center"/>
            </w:pPr>
            <w:r>
              <w:rPr>
                <w:rFonts w:ascii="宋体" w:hAnsi="宋体" w:eastAsia="宋体"/>
                <w:sz w:val="21"/>
              </w:rPr>
              <w:t>318</w:t>
            </w:r>
          </w:p>
        </w:tc>
        <w:tc>
          <w:tcPr>
            <w:tcW w:w="1568" w:type="dxa"/>
            <w:vAlign w:val="center"/>
          </w:tcPr>
          <w:p w14:paraId="46D3B864">
            <w:pPr>
              <w:spacing w:before="0" w:after="0"/>
              <w:jc w:val="center"/>
            </w:pPr>
            <w:r>
              <w:rPr>
                <w:rFonts w:ascii="宋体" w:hAnsi="宋体" w:eastAsia="宋体"/>
                <w:sz w:val="21"/>
              </w:rPr>
              <w:t>197</w:t>
            </w:r>
          </w:p>
        </w:tc>
        <w:tc>
          <w:tcPr>
            <w:tcW w:w="1568" w:type="dxa"/>
            <w:vAlign w:val="center"/>
          </w:tcPr>
          <w:p w14:paraId="454B0B90">
            <w:pPr>
              <w:spacing w:before="0" w:after="0"/>
              <w:jc w:val="center"/>
            </w:pPr>
            <w:r>
              <w:rPr>
                <w:rFonts w:ascii="宋体" w:hAnsi="宋体" w:eastAsia="宋体"/>
                <w:sz w:val="21"/>
              </w:rPr>
              <w:t>188</w:t>
            </w:r>
          </w:p>
        </w:tc>
        <w:tc>
          <w:tcPr>
            <w:tcW w:w="1568" w:type="dxa"/>
            <w:vAlign w:val="center"/>
          </w:tcPr>
          <w:p w14:paraId="3BC9023A">
            <w:pPr>
              <w:spacing w:before="0" w:after="0"/>
              <w:jc w:val="center"/>
            </w:pPr>
            <w:r>
              <w:rPr>
                <w:rFonts w:ascii="宋体" w:hAnsi="宋体" w:eastAsia="宋体"/>
                <w:sz w:val="21"/>
              </w:rPr>
              <w:t>703</w:t>
            </w:r>
          </w:p>
        </w:tc>
        <w:tc>
          <w:tcPr>
            <w:tcW w:w="1568" w:type="dxa"/>
            <w:vAlign w:val="center"/>
          </w:tcPr>
          <w:p w14:paraId="5823DAA2">
            <w:pPr>
              <w:spacing w:before="0" w:after="0"/>
              <w:jc w:val="center"/>
            </w:pPr>
            <w:r>
              <w:rPr>
                <w:rFonts w:ascii="宋体" w:hAnsi="宋体" w:eastAsia="宋体"/>
                <w:sz w:val="21"/>
              </w:rPr>
              <w:t>8.6%</w:t>
            </w:r>
          </w:p>
        </w:tc>
      </w:tr>
      <w:tr w14:paraId="1BF42939">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104809B4">
            <w:pPr>
              <w:spacing w:before="0" w:after="0"/>
              <w:jc w:val="center"/>
            </w:pPr>
            <w:r>
              <w:rPr>
                <w:rFonts w:ascii="宋体" w:hAnsi="宋体" w:eastAsia="宋体"/>
                <w:sz w:val="21"/>
              </w:rPr>
              <w:t>助浴</w:t>
            </w:r>
          </w:p>
        </w:tc>
        <w:tc>
          <w:tcPr>
            <w:tcW w:w="1568" w:type="dxa"/>
            <w:vAlign w:val="center"/>
          </w:tcPr>
          <w:p w14:paraId="01ECEABF">
            <w:pPr>
              <w:spacing w:before="0" w:after="0"/>
              <w:jc w:val="center"/>
            </w:pPr>
            <w:r>
              <w:rPr>
                <w:rFonts w:ascii="宋体" w:hAnsi="宋体" w:eastAsia="宋体"/>
                <w:sz w:val="21"/>
              </w:rPr>
              <w:t>0</w:t>
            </w:r>
          </w:p>
        </w:tc>
        <w:tc>
          <w:tcPr>
            <w:tcW w:w="1568" w:type="dxa"/>
            <w:vAlign w:val="center"/>
          </w:tcPr>
          <w:p w14:paraId="038F7EC3">
            <w:pPr>
              <w:spacing w:before="0" w:after="0"/>
              <w:jc w:val="center"/>
            </w:pPr>
            <w:r>
              <w:rPr>
                <w:rFonts w:ascii="宋体" w:hAnsi="宋体" w:eastAsia="宋体"/>
                <w:sz w:val="21"/>
              </w:rPr>
              <w:t>99</w:t>
            </w:r>
          </w:p>
        </w:tc>
        <w:tc>
          <w:tcPr>
            <w:tcW w:w="1568" w:type="dxa"/>
            <w:vAlign w:val="center"/>
          </w:tcPr>
          <w:p w14:paraId="178FE9CA">
            <w:pPr>
              <w:spacing w:before="0" w:after="0"/>
              <w:jc w:val="center"/>
            </w:pPr>
            <w:r>
              <w:rPr>
                <w:rFonts w:ascii="宋体" w:hAnsi="宋体" w:eastAsia="宋体"/>
                <w:sz w:val="21"/>
              </w:rPr>
              <w:t>125</w:t>
            </w:r>
          </w:p>
        </w:tc>
        <w:tc>
          <w:tcPr>
            <w:tcW w:w="1568" w:type="dxa"/>
            <w:vAlign w:val="center"/>
          </w:tcPr>
          <w:p w14:paraId="44C1846B">
            <w:pPr>
              <w:spacing w:before="0" w:after="0"/>
              <w:jc w:val="center"/>
            </w:pPr>
            <w:r>
              <w:rPr>
                <w:rFonts w:ascii="宋体" w:hAnsi="宋体" w:eastAsia="宋体"/>
                <w:sz w:val="21"/>
              </w:rPr>
              <w:t>224</w:t>
            </w:r>
          </w:p>
        </w:tc>
        <w:tc>
          <w:tcPr>
            <w:tcW w:w="1568" w:type="dxa"/>
            <w:vAlign w:val="center"/>
          </w:tcPr>
          <w:p w14:paraId="41983C34">
            <w:pPr>
              <w:spacing w:before="0" w:after="0"/>
              <w:jc w:val="center"/>
            </w:pPr>
            <w:r>
              <w:rPr>
                <w:rFonts w:ascii="宋体" w:hAnsi="宋体" w:eastAsia="宋体"/>
                <w:sz w:val="21"/>
              </w:rPr>
              <w:t>2.7%</w:t>
            </w:r>
          </w:p>
        </w:tc>
      </w:tr>
      <w:tr w14:paraId="1EC0D629">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194A4E00">
            <w:pPr>
              <w:spacing w:before="0" w:after="0"/>
              <w:jc w:val="center"/>
            </w:pPr>
            <w:r>
              <w:rPr>
                <w:rFonts w:ascii="宋体" w:hAnsi="宋体" w:eastAsia="宋体"/>
                <w:sz w:val="21"/>
              </w:rPr>
              <w:t>紧急救助</w:t>
            </w:r>
          </w:p>
        </w:tc>
        <w:tc>
          <w:tcPr>
            <w:tcW w:w="1568" w:type="dxa"/>
            <w:vAlign w:val="center"/>
          </w:tcPr>
          <w:p w14:paraId="087B04DD">
            <w:pPr>
              <w:spacing w:before="0" w:after="0"/>
              <w:jc w:val="center"/>
            </w:pPr>
            <w:r>
              <w:rPr>
                <w:rFonts w:ascii="宋体" w:hAnsi="宋体" w:eastAsia="宋体"/>
                <w:sz w:val="21"/>
              </w:rPr>
              <w:t>24</w:t>
            </w:r>
          </w:p>
        </w:tc>
        <w:tc>
          <w:tcPr>
            <w:tcW w:w="1568" w:type="dxa"/>
            <w:vAlign w:val="center"/>
          </w:tcPr>
          <w:p w14:paraId="1DCB0166">
            <w:pPr>
              <w:spacing w:before="0" w:after="0"/>
              <w:jc w:val="center"/>
            </w:pPr>
            <w:r>
              <w:rPr>
                <w:rFonts w:ascii="宋体" w:hAnsi="宋体" w:eastAsia="宋体"/>
                <w:sz w:val="21"/>
              </w:rPr>
              <w:t>51</w:t>
            </w:r>
          </w:p>
        </w:tc>
        <w:tc>
          <w:tcPr>
            <w:tcW w:w="1568" w:type="dxa"/>
            <w:vAlign w:val="center"/>
          </w:tcPr>
          <w:p w14:paraId="18A5C28F">
            <w:pPr>
              <w:spacing w:before="0" w:after="0"/>
              <w:jc w:val="center"/>
            </w:pPr>
            <w:r>
              <w:rPr>
                <w:rFonts w:ascii="宋体" w:hAnsi="宋体" w:eastAsia="宋体"/>
                <w:sz w:val="21"/>
              </w:rPr>
              <w:t>114</w:t>
            </w:r>
          </w:p>
        </w:tc>
        <w:tc>
          <w:tcPr>
            <w:tcW w:w="1568" w:type="dxa"/>
            <w:vAlign w:val="center"/>
          </w:tcPr>
          <w:p w14:paraId="2C4B1AA3">
            <w:pPr>
              <w:spacing w:before="0" w:after="0"/>
              <w:jc w:val="center"/>
            </w:pPr>
            <w:r>
              <w:rPr>
                <w:rFonts w:ascii="宋体" w:hAnsi="宋体" w:eastAsia="宋体"/>
                <w:sz w:val="21"/>
              </w:rPr>
              <w:t>189</w:t>
            </w:r>
          </w:p>
        </w:tc>
        <w:tc>
          <w:tcPr>
            <w:tcW w:w="1568" w:type="dxa"/>
            <w:vAlign w:val="center"/>
          </w:tcPr>
          <w:p w14:paraId="00093836">
            <w:pPr>
              <w:spacing w:before="0" w:after="0"/>
              <w:jc w:val="center"/>
            </w:pPr>
            <w:r>
              <w:rPr>
                <w:rFonts w:ascii="宋体" w:hAnsi="宋体" w:eastAsia="宋体"/>
                <w:sz w:val="21"/>
              </w:rPr>
              <w:t>2.3%</w:t>
            </w:r>
          </w:p>
        </w:tc>
      </w:tr>
      <w:tr w14:paraId="5416EAF6">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3CFD31B0">
            <w:pPr>
              <w:spacing w:before="0" w:after="0"/>
              <w:jc w:val="center"/>
            </w:pPr>
            <w:r>
              <w:rPr>
                <w:rFonts w:ascii="宋体" w:hAnsi="宋体" w:eastAsia="宋体"/>
                <w:sz w:val="21"/>
              </w:rPr>
              <w:t>合计</w:t>
            </w:r>
          </w:p>
        </w:tc>
        <w:tc>
          <w:tcPr>
            <w:tcW w:w="1568" w:type="dxa"/>
            <w:vAlign w:val="center"/>
          </w:tcPr>
          <w:p w14:paraId="70BAD951">
            <w:pPr>
              <w:spacing w:before="0" w:after="0"/>
              <w:jc w:val="center"/>
            </w:pPr>
            <w:r>
              <w:rPr>
                <w:rFonts w:ascii="宋体" w:hAnsi="宋体" w:eastAsia="宋体"/>
                <w:sz w:val="21"/>
              </w:rPr>
              <w:t>3843</w:t>
            </w:r>
          </w:p>
        </w:tc>
        <w:tc>
          <w:tcPr>
            <w:tcW w:w="1568" w:type="dxa"/>
            <w:vAlign w:val="center"/>
          </w:tcPr>
          <w:p w14:paraId="079C2B5E">
            <w:pPr>
              <w:spacing w:before="0" w:after="0"/>
              <w:jc w:val="center"/>
            </w:pPr>
            <w:r>
              <w:rPr>
                <w:rFonts w:ascii="宋体" w:hAnsi="宋体" w:eastAsia="宋体"/>
                <w:sz w:val="21"/>
              </w:rPr>
              <w:t>2319</w:t>
            </w:r>
          </w:p>
        </w:tc>
        <w:tc>
          <w:tcPr>
            <w:tcW w:w="1568" w:type="dxa"/>
            <w:vAlign w:val="center"/>
          </w:tcPr>
          <w:p w14:paraId="20E0EC9E">
            <w:pPr>
              <w:spacing w:before="0" w:after="0"/>
              <w:jc w:val="center"/>
            </w:pPr>
            <w:r>
              <w:rPr>
                <w:rFonts w:ascii="宋体" w:hAnsi="宋体" w:eastAsia="宋体"/>
                <w:sz w:val="21"/>
              </w:rPr>
              <w:t>2053</w:t>
            </w:r>
          </w:p>
        </w:tc>
        <w:tc>
          <w:tcPr>
            <w:tcW w:w="1568" w:type="dxa"/>
            <w:vAlign w:val="center"/>
          </w:tcPr>
          <w:p w14:paraId="088572E1">
            <w:pPr>
              <w:spacing w:before="0" w:after="0"/>
              <w:jc w:val="center"/>
            </w:pPr>
            <w:r>
              <w:rPr>
                <w:rFonts w:ascii="宋体" w:hAnsi="宋体" w:eastAsia="宋体"/>
                <w:sz w:val="21"/>
              </w:rPr>
              <w:t>8214</w:t>
            </w:r>
          </w:p>
        </w:tc>
        <w:tc>
          <w:tcPr>
            <w:tcW w:w="1568" w:type="dxa"/>
            <w:vAlign w:val="center"/>
          </w:tcPr>
          <w:p w14:paraId="3BDF222F">
            <w:pPr>
              <w:spacing w:before="0" w:after="0"/>
              <w:jc w:val="center"/>
            </w:pPr>
            <w:r>
              <w:rPr>
                <w:rFonts w:ascii="宋体" w:hAnsi="宋体" w:eastAsia="宋体"/>
                <w:sz w:val="21"/>
              </w:rPr>
              <w:t>100%</w:t>
            </w:r>
          </w:p>
        </w:tc>
      </w:tr>
    </w:tbl>
    <w:p w14:paraId="50B19F71">
      <w:pPr>
        <w:spacing w:before="160" w:after="60"/>
      </w:pPr>
      <w:r>
        <w:rPr>
          <w:rFonts w:ascii="黑体" w:hAnsi="黑体" w:eastAsia="黑体"/>
          <w:b/>
          <w:sz w:val="32"/>
        </w:rPr>
        <w:t>五、问题二：选址与规模优化</w:t>
      </w:r>
    </w:p>
    <w:p w14:paraId="05404E59">
      <w:pPr>
        <w:spacing w:before="160" w:after="60"/>
      </w:pPr>
      <w:r>
        <w:rPr>
          <w:rFonts w:ascii="黑体" w:hAnsi="黑体" w:eastAsia="黑体"/>
          <w:b/>
          <w:sz w:val="28"/>
        </w:rPr>
        <w:t>5.1 模型</w:t>
      </w:r>
    </w:p>
    <w:p w14:paraId="1F3C3B63">
      <w:pPr>
        <w:spacing w:line="360" w:lineRule="auto"/>
        <w:ind w:firstLine="480"/>
      </w:pPr>
      <w:r>
        <w:rPr>
          <w:rFonts w:ascii="Times New Roman" w:hAnsi="Times New Roman" w:eastAsia="宋体"/>
          <w:sz w:val="24"/>
        </w:rPr>
        <w:t>满意度 S=0.2S1+0.3S2+0.5S3。S1为距离分段函数（≤300m:1.0, 300~500:0.9, 500~650:0.75, 650~1000:0.6）；S2为利用率函数（ρ≤0.6:1.0递减至ρ&gt;0.95:0.6）。站点规模及成本见表4。年固定成本=建设费/20+日均管理×365。</w:t>
      </w:r>
    </w:p>
    <w:p w14:paraId="60C8960F">
      <w:pPr>
        <w:spacing w:line="360" w:lineRule="auto"/>
        <w:ind w:firstLine="480"/>
      </w:pPr>
      <w:r>
        <w:rPr>
          <w:rFonts w:ascii="Times New Roman" w:hAnsi="Times New Roman" w:eastAsia="宋体"/>
          <w:sz w:val="24"/>
        </w:rPr>
        <w:t>将问题二形式化为混合整数非线性规划（MINLP）：目标函数——max Σw_i·S_i/Σw_i，其中w_i为小区i老年人口总数，S_i=0.2S1+0.3S2+0.5S3。约束条件：(C1)预算约束ΣC(y_j)·x_j≤120万元；(C2)全覆盖约束——每个小区至少一个站点在1000m半径内；(C3)分配唯一性——每类老人分配至唯一站点；(C4)容量约束Σa_{ij,c}·D_{i,c}≤Q(y_j)·x_j。该模型非线性来源于S2关于利用率ρ的分段阶跃，导致目标非凸非光滑；分配变量与建设变量强耦合，需外层枚举（经预算与覆盖剪枝后约15,000可行解）与内层阻尼不动点迭代的两阶段求解。</w:t>
      </w:r>
    </w:p>
    <w:p w14:paraId="0686F0FD">
      <w:pPr>
        <w:spacing w:before="80"/>
        <w:jc w:val="center"/>
      </w:pPr>
      <w:r>
        <w:rPr>
          <w:rFonts w:ascii="宋体" w:hAnsi="宋体" w:eastAsia="宋体"/>
          <w:b/>
          <w:sz w:val="21"/>
        </w:rPr>
        <w:t>表5  站点规模参数</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1881"/>
        <w:gridCol w:w="1881"/>
        <w:gridCol w:w="1881"/>
        <w:gridCol w:w="1881"/>
        <w:gridCol w:w="1881"/>
      </w:tblGrid>
      <w:tr w14:paraId="465D1B7F">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tcBorders>
              <w:bottom w:val="single" w:color="000000" w:sz="6" w:space="0"/>
            </w:tcBorders>
            <w:vAlign w:val="center"/>
          </w:tcPr>
          <w:p w14:paraId="46205BDD">
            <w:pPr>
              <w:spacing w:before="0" w:after="0"/>
              <w:jc w:val="center"/>
            </w:pPr>
            <w:r>
              <w:rPr>
                <w:rFonts w:ascii="宋体" w:hAnsi="宋体" w:eastAsia="宋体"/>
                <w:b/>
                <w:sz w:val="21"/>
              </w:rPr>
              <w:t>规模</w:t>
            </w:r>
          </w:p>
        </w:tc>
        <w:tc>
          <w:tcPr>
            <w:tcW w:w="1881" w:type="dxa"/>
            <w:tcBorders>
              <w:bottom w:val="single" w:color="000000" w:sz="6" w:space="0"/>
            </w:tcBorders>
            <w:vAlign w:val="center"/>
          </w:tcPr>
          <w:p w14:paraId="25F425B8">
            <w:pPr>
              <w:spacing w:before="0" w:after="0"/>
              <w:jc w:val="center"/>
            </w:pPr>
            <w:r>
              <w:rPr>
                <w:rFonts w:ascii="宋体" w:hAnsi="宋体" w:eastAsia="宋体"/>
                <w:b/>
                <w:sz w:val="21"/>
              </w:rPr>
              <w:t>建设(万)</w:t>
            </w:r>
          </w:p>
        </w:tc>
        <w:tc>
          <w:tcPr>
            <w:tcW w:w="1881" w:type="dxa"/>
            <w:tcBorders>
              <w:bottom w:val="single" w:color="000000" w:sz="6" w:space="0"/>
            </w:tcBorders>
            <w:vAlign w:val="center"/>
          </w:tcPr>
          <w:p w14:paraId="0E5ABC1C">
            <w:pPr>
              <w:spacing w:before="0" w:after="0"/>
              <w:jc w:val="center"/>
            </w:pPr>
            <w:r>
              <w:rPr>
                <w:rFonts w:ascii="宋体" w:hAnsi="宋体" w:eastAsia="宋体"/>
                <w:b/>
                <w:sz w:val="21"/>
              </w:rPr>
              <w:t>日管理(元)</w:t>
            </w:r>
          </w:p>
        </w:tc>
        <w:tc>
          <w:tcPr>
            <w:tcW w:w="1881" w:type="dxa"/>
            <w:tcBorders>
              <w:bottom w:val="single" w:color="000000" w:sz="6" w:space="0"/>
            </w:tcBorders>
            <w:vAlign w:val="center"/>
          </w:tcPr>
          <w:p w14:paraId="7097315F">
            <w:pPr>
              <w:spacing w:before="0" w:after="0"/>
              <w:jc w:val="center"/>
            </w:pPr>
            <w:r>
              <w:rPr>
                <w:rFonts w:ascii="宋体" w:hAnsi="宋体" w:eastAsia="宋体"/>
                <w:b/>
                <w:sz w:val="21"/>
              </w:rPr>
              <w:t>日容量</w:t>
            </w:r>
          </w:p>
        </w:tc>
        <w:tc>
          <w:tcPr>
            <w:tcW w:w="1881" w:type="dxa"/>
            <w:tcBorders>
              <w:bottom w:val="single" w:color="000000" w:sz="6" w:space="0"/>
            </w:tcBorders>
            <w:vAlign w:val="center"/>
          </w:tcPr>
          <w:p w14:paraId="38471FED">
            <w:pPr>
              <w:spacing w:before="0" w:after="0"/>
              <w:jc w:val="center"/>
            </w:pPr>
            <w:r>
              <w:rPr>
                <w:rFonts w:ascii="宋体" w:hAnsi="宋体" w:eastAsia="宋体"/>
                <w:b/>
                <w:sz w:val="21"/>
              </w:rPr>
              <w:t>年固定(万)</w:t>
            </w:r>
          </w:p>
        </w:tc>
      </w:tr>
      <w:tr w14:paraId="5D5BDBF0">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004B14CC">
            <w:pPr>
              <w:spacing w:before="0" w:after="0"/>
              <w:jc w:val="center"/>
            </w:pPr>
            <w:r>
              <w:rPr>
                <w:rFonts w:ascii="宋体" w:hAnsi="宋体" w:eastAsia="宋体"/>
                <w:sz w:val="21"/>
              </w:rPr>
              <w:t>小型</w:t>
            </w:r>
          </w:p>
        </w:tc>
        <w:tc>
          <w:tcPr>
            <w:tcW w:w="1881" w:type="dxa"/>
            <w:vAlign w:val="center"/>
          </w:tcPr>
          <w:p w14:paraId="0C6574A8">
            <w:pPr>
              <w:spacing w:before="0" w:after="0"/>
              <w:jc w:val="center"/>
            </w:pPr>
            <w:r>
              <w:rPr>
                <w:rFonts w:ascii="宋体" w:hAnsi="宋体" w:eastAsia="宋体"/>
                <w:sz w:val="21"/>
              </w:rPr>
              <w:t>18</w:t>
            </w:r>
          </w:p>
        </w:tc>
        <w:tc>
          <w:tcPr>
            <w:tcW w:w="1881" w:type="dxa"/>
            <w:vAlign w:val="center"/>
          </w:tcPr>
          <w:p w14:paraId="53BA1E47">
            <w:pPr>
              <w:spacing w:before="0" w:after="0"/>
              <w:jc w:val="center"/>
            </w:pPr>
            <w:r>
              <w:rPr>
                <w:rFonts w:ascii="宋体" w:hAnsi="宋体" w:eastAsia="宋体"/>
                <w:sz w:val="21"/>
              </w:rPr>
              <w:t>2000</w:t>
            </w:r>
          </w:p>
        </w:tc>
        <w:tc>
          <w:tcPr>
            <w:tcW w:w="1881" w:type="dxa"/>
            <w:vAlign w:val="center"/>
          </w:tcPr>
          <w:p w14:paraId="4BCBAC3B">
            <w:pPr>
              <w:spacing w:before="0" w:after="0"/>
              <w:jc w:val="center"/>
            </w:pPr>
            <w:r>
              <w:rPr>
                <w:rFonts w:ascii="宋体" w:hAnsi="宋体" w:eastAsia="宋体"/>
                <w:sz w:val="21"/>
              </w:rPr>
              <w:t>1000</w:t>
            </w:r>
          </w:p>
        </w:tc>
        <w:tc>
          <w:tcPr>
            <w:tcW w:w="1881" w:type="dxa"/>
            <w:vAlign w:val="center"/>
          </w:tcPr>
          <w:p w14:paraId="39830B6B">
            <w:pPr>
              <w:spacing w:before="0" w:after="0"/>
              <w:jc w:val="center"/>
            </w:pPr>
            <w:r>
              <w:rPr>
                <w:rFonts w:ascii="宋体" w:hAnsi="宋体" w:eastAsia="宋体"/>
                <w:sz w:val="21"/>
              </w:rPr>
              <w:t>73.9</w:t>
            </w:r>
          </w:p>
        </w:tc>
      </w:tr>
      <w:tr w14:paraId="77556F89">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70C79E96">
            <w:pPr>
              <w:spacing w:before="0" w:after="0"/>
              <w:jc w:val="center"/>
            </w:pPr>
            <w:r>
              <w:rPr>
                <w:rFonts w:ascii="宋体" w:hAnsi="宋体" w:eastAsia="宋体"/>
                <w:sz w:val="21"/>
              </w:rPr>
              <w:t>中型</w:t>
            </w:r>
          </w:p>
        </w:tc>
        <w:tc>
          <w:tcPr>
            <w:tcW w:w="1881" w:type="dxa"/>
            <w:vAlign w:val="center"/>
          </w:tcPr>
          <w:p w14:paraId="11C0FF31">
            <w:pPr>
              <w:spacing w:before="0" w:after="0"/>
              <w:jc w:val="center"/>
            </w:pPr>
            <w:r>
              <w:rPr>
                <w:rFonts w:ascii="宋体" w:hAnsi="宋体" w:eastAsia="宋体"/>
                <w:sz w:val="21"/>
              </w:rPr>
              <w:t>32</w:t>
            </w:r>
          </w:p>
        </w:tc>
        <w:tc>
          <w:tcPr>
            <w:tcW w:w="1881" w:type="dxa"/>
            <w:vAlign w:val="center"/>
          </w:tcPr>
          <w:p w14:paraId="55061739">
            <w:pPr>
              <w:spacing w:before="0" w:after="0"/>
              <w:jc w:val="center"/>
            </w:pPr>
            <w:r>
              <w:rPr>
                <w:rFonts w:ascii="宋体" w:hAnsi="宋体" w:eastAsia="宋体"/>
                <w:sz w:val="21"/>
              </w:rPr>
              <w:t>3200</w:t>
            </w:r>
          </w:p>
        </w:tc>
        <w:tc>
          <w:tcPr>
            <w:tcW w:w="1881" w:type="dxa"/>
            <w:vAlign w:val="center"/>
          </w:tcPr>
          <w:p w14:paraId="6BDB521C">
            <w:pPr>
              <w:spacing w:before="0" w:after="0"/>
              <w:jc w:val="center"/>
            </w:pPr>
            <w:r>
              <w:rPr>
                <w:rFonts w:ascii="宋体" w:hAnsi="宋体" w:eastAsia="宋体"/>
                <w:sz w:val="21"/>
              </w:rPr>
              <w:t>2000</w:t>
            </w:r>
          </w:p>
        </w:tc>
        <w:tc>
          <w:tcPr>
            <w:tcW w:w="1881" w:type="dxa"/>
            <w:vAlign w:val="center"/>
          </w:tcPr>
          <w:p w14:paraId="1028A6AE">
            <w:pPr>
              <w:spacing w:before="0" w:after="0"/>
              <w:jc w:val="center"/>
            </w:pPr>
            <w:r>
              <w:rPr>
                <w:rFonts w:ascii="宋体" w:hAnsi="宋体" w:eastAsia="宋体"/>
                <w:sz w:val="21"/>
              </w:rPr>
              <w:t>118.4</w:t>
            </w:r>
          </w:p>
        </w:tc>
      </w:tr>
      <w:tr w14:paraId="200DD1AD">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2DB142AD">
            <w:pPr>
              <w:spacing w:before="0" w:after="0"/>
              <w:jc w:val="center"/>
            </w:pPr>
            <w:r>
              <w:rPr>
                <w:rFonts w:ascii="宋体" w:hAnsi="宋体" w:eastAsia="宋体"/>
                <w:sz w:val="21"/>
              </w:rPr>
              <w:t>大型</w:t>
            </w:r>
          </w:p>
        </w:tc>
        <w:tc>
          <w:tcPr>
            <w:tcW w:w="1881" w:type="dxa"/>
            <w:vAlign w:val="center"/>
          </w:tcPr>
          <w:p w14:paraId="48DEA34A">
            <w:pPr>
              <w:spacing w:before="0" w:after="0"/>
              <w:jc w:val="center"/>
            </w:pPr>
            <w:r>
              <w:rPr>
                <w:rFonts w:ascii="宋体" w:hAnsi="宋体" w:eastAsia="宋体"/>
                <w:sz w:val="21"/>
              </w:rPr>
              <w:t>45</w:t>
            </w:r>
          </w:p>
        </w:tc>
        <w:tc>
          <w:tcPr>
            <w:tcW w:w="1881" w:type="dxa"/>
            <w:vAlign w:val="center"/>
          </w:tcPr>
          <w:p w14:paraId="20EA7A93">
            <w:pPr>
              <w:spacing w:before="0" w:after="0"/>
              <w:jc w:val="center"/>
            </w:pPr>
            <w:r>
              <w:rPr>
                <w:rFonts w:ascii="宋体" w:hAnsi="宋体" w:eastAsia="宋体"/>
                <w:sz w:val="21"/>
              </w:rPr>
              <w:t>4400</w:t>
            </w:r>
          </w:p>
        </w:tc>
        <w:tc>
          <w:tcPr>
            <w:tcW w:w="1881" w:type="dxa"/>
            <w:vAlign w:val="center"/>
          </w:tcPr>
          <w:p w14:paraId="09D741B0">
            <w:pPr>
              <w:spacing w:before="0" w:after="0"/>
              <w:jc w:val="center"/>
            </w:pPr>
            <w:r>
              <w:rPr>
                <w:rFonts w:ascii="宋体" w:hAnsi="宋体" w:eastAsia="宋体"/>
                <w:sz w:val="21"/>
              </w:rPr>
              <w:t>3000</w:t>
            </w:r>
          </w:p>
        </w:tc>
        <w:tc>
          <w:tcPr>
            <w:tcW w:w="1881" w:type="dxa"/>
            <w:vAlign w:val="center"/>
          </w:tcPr>
          <w:p w14:paraId="273DDE0E">
            <w:pPr>
              <w:spacing w:before="0" w:after="0"/>
              <w:jc w:val="center"/>
            </w:pPr>
            <w:r>
              <w:rPr>
                <w:rFonts w:ascii="宋体" w:hAnsi="宋体" w:eastAsia="宋体"/>
                <w:sz w:val="21"/>
              </w:rPr>
              <w:t>162.9</w:t>
            </w:r>
          </w:p>
        </w:tc>
      </w:tr>
    </w:tbl>
    <w:p w14:paraId="2290C7C2">
      <w:pPr>
        <w:jc w:val="center"/>
      </w:pPr>
      <w:r>
        <w:drawing>
          <wp:inline distT="0" distB="0" distL="114300" distR="114300">
            <wp:extent cx="4206240" cy="2686050"/>
            <wp:effectExtent l="0" t="0" r="1016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206240" cy="2686058"/>
                    </a:xfrm>
                    <a:prstGeom prst="rect">
                      <a:avLst/>
                    </a:prstGeom>
                  </pic:spPr>
                </pic:pic>
              </a:graphicData>
            </a:graphic>
          </wp:inline>
        </w:drawing>
      </w:r>
    </w:p>
    <w:p w14:paraId="38D74659">
      <w:pPr>
        <w:jc w:val="center"/>
      </w:pPr>
      <w:r>
        <w:rPr>
          <w:rFonts w:ascii="宋体" w:hAnsi="宋体" w:eastAsia="宋体"/>
          <w:b/>
          <w:sz w:val="21"/>
        </w:rPr>
        <w:t>图5  距离满意度S1分段阶跃函数</w:t>
      </w:r>
    </w:p>
    <w:p w14:paraId="7F3E1ECA">
      <w:pPr>
        <w:spacing w:line="360" w:lineRule="auto"/>
        <w:ind w:firstLine="480"/>
      </w:pPr>
      <w:r>
        <w:rPr>
          <w:rFonts w:ascii="Times New Roman" w:hAnsi="Times New Roman" w:eastAsia="宋体"/>
          <w:sz w:val="24"/>
        </w:rPr>
        <w:t>图5展示了满意度模型的核心驱动变量S1。1000m以内分为四个梯级（1.00/0.90/0.75/0.60），超过1000m服务完全失效。该分段结构是选址优化中"老人就近分配"行为的数学基础：相邻小区间300m的距离差异可能导致0.25的满意度跳跃。</w:t>
      </w:r>
    </w:p>
    <w:p w14:paraId="0FD9F19E">
      <w:pPr>
        <w:spacing w:before="160" w:after="60"/>
      </w:pPr>
      <w:r>
        <w:rPr>
          <w:rFonts w:ascii="黑体" w:hAnsi="黑体" w:eastAsia="黑体"/>
          <w:b/>
          <w:sz w:val="28"/>
        </w:rPr>
        <w:t>5.2 算法</w:t>
      </w:r>
    </w:p>
    <w:p w14:paraId="6D56386C">
      <w:pPr>
        <w:spacing w:line="360" w:lineRule="auto"/>
        <w:ind w:firstLine="480"/>
      </w:pPr>
      <w:r>
        <w:rPr>
          <w:rFonts w:ascii="Times New Roman" w:hAnsi="Times New Roman" w:eastAsia="宋体"/>
          <w:sz w:val="24"/>
        </w:rPr>
        <w:t>外层全枚举（30候选站×预算≤120万≈15000组合），内层阻尼不动点迭代：S2=0.5×S2_new+0.5×S2_old，10次未收敛取滑动窗口众数。目标：覆盖率≥85%约束下max加权满意度。</w:t>
      </w:r>
    </w:p>
    <w:p w14:paraId="01E0B794">
      <w:pPr>
        <w:spacing w:before="160" w:after="60"/>
      </w:pPr>
      <w:r>
        <w:rPr>
          <w:rFonts w:ascii="黑体" w:hAnsi="黑体" w:eastAsia="黑体"/>
          <w:b/>
          <w:sz w:val="28"/>
        </w:rPr>
        <w:t>5.3 结果</w:t>
      </w:r>
    </w:p>
    <w:p w14:paraId="4E4DE6CB">
      <w:pPr>
        <w:spacing w:line="360" w:lineRule="auto"/>
        <w:ind w:firstLine="480"/>
      </w:pPr>
      <w:r>
        <w:rPr>
          <w:rFonts w:ascii="Times New Roman" w:hAnsi="Times New Roman" w:eastAsia="宋体"/>
          <w:sz w:val="24"/>
        </w:rPr>
        <w:t>最优解：5站（A/J中型，C/G/I小型），总预算109万元。地理覆盖率100%——所有10个小区均在至少一个站点的1000m服务半径内（表6）。服务满足率85.2%——总设计容量7000人次/日 vs 理论日均需求8214人次，存在14.8%的供需缺口。C站和I站已达容量上限（利用率100%），为"排队溢出"的压力节点。</w:t>
      </w:r>
    </w:p>
    <w:p w14:paraId="7CB3F0F8">
      <w:pPr>
        <w:spacing w:before="80"/>
        <w:jc w:val="center"/>
        <w:rPr>
          <w:rFonts w:ascii="宋体" w:hAnsi="宋体" w:eastAsia="宋体"/>
          <w:b/>
          <w:sz w:val="21"/>
        </w:rPr>
      </w:pPr>
    </w:p>
    <w:p w14:paraId="6DD86927">
      <w:pPr>
        <w:spacing w:before="80"/>
        <w:jc w:val="center"/>
        <w:rPr>
          <w:rFonts w:ascii="宋体" w:hAnsi="宋体" w:eastAsia="宋体"/>
          <w:b/>
          <w:sz w:val="21"/>
        </w:rPr>
      </w:pPr>
    </w:p>
    <w:p w14:paraId="3F4E13EA">
      <w:pPr>
        <w:spacing w:before="80"/>
        <w:jc w:val="center"/>
      </w:pPr>
      <w:r>
        <w:rPr>
          <w:rFonts w:ascii="宋体" w:hAnsi="宋体" w:eastAsia="宋体"/>
          <w:b/>
          <w:sz w:val="21"/>
        </w:rPr>
        <w:t>表6  最优选址方案</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1881"/>
        <w:gridCol w:w="1881"/>
        <w:gridCol w:w="1881"/>
        <w:gridCol w:w="1881"/>
        <w:gridCol w:w="1881"/>
      </w:tblGrid>
      <w:tr w14:paraId="05CE7476">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tcBorders>
              <w:bottom w:val="single" w:color="000000" w:sz="6" w:space="0"/>
            </w:tcBorders>
            <w:vAlign w:val="center"/>
          </w:tcPr>
          <w:p w14:paraId="3B7E3A4A">
            <w:pPr>
              <w:spacing w:before="0" w:after="0"/>
              <w:jc w:val="center"/>
            </w:pPr>
            <w:r>
              <w:rPr>
                <w:rFonts w:ascii="宋体" w:hAnsi="宋体" w:eastAsia="宋体"/>
                <w:b/>
                <w:sz w:val="21"/>
              </w:rPr>
              <w:t>#</w:t>
            </w:r>
          </w:p>
        </w:tc>
        <w:tc>
          <w:tcPr>
            <w:tcW w:w="1881" w:type="dxa"/>
            <w:tcBorders>
              <w:bottom w:val="single" w:color="000000" w:sz="6" w:space="0"/>
            </w:tcBorders>
            <w:vAlign w:val="center"/>
          </w:tcPr>
          <w:p w14:paraId="7DED7586">
            <w:pPr>
              <w:spacing w:before="0" w:after="0"/>
              <w:jc w:val="center"/>
            </w:pPr>
            <w:r>
              <w:rPr>
                <w:rFonts w:ascii="宋体" w:hAnsi="宋体" w:eastAsia="宋体"/>
                <w:b/>
                <w:sz w:val="21"/>
              </w:rPr>
              <w:t>位置</w:t>
            </w:r>
          </w:p>
        </w:tc>
        <w:tc>
          <w:tcPr>
            <w:tcW w:w="1881" w:type="dxa"/>
            <w:tcBorders>
              <w:bottom w:val="single" w:color="000000" w:sz="6" w:space="0"/>
            </w:tcBorders>
            <w:vAlign w:val="center"/>
          </w:tcPr>
          <w:p w14:paraId="58B29361">
            <w:pPr>
              <w:spacing w:before="0" w:after="0"/>
              <w:jc w:val="center"/>
            </w:pPr>
            <w:r>
              <w:rPr>
                <w:rFonts w:ascii="宋体" w:hAnsi="宋体" w:eastAsia="宋体"/>
                <w:b/>
                <w:sz w:val="21"/>
              </w:rPr>
              <w:t>规模</w:t>
            </w:r>
          </w:p>
        </w:tc>
        <w:tc>
          <w:tcPr>
            <w:tcW w:w="1881" w:type="dxa"/>
            <w:tcBorders>
              <w:bottom w:val="single" w:color="000000" w:sz="6" w:space="0"/>
            </w:tcBorders>
            <w:vAlign w:val="center"/>
          </w:tcPr>
          <w:p w14:paraId="2519C68C">
            <w:pPr>
              <w:spacing w:before="0" w:after="0"/>
              <w:jc w:val="center"/>
            </w:pPr>
            <w:r>
              <w:rPr>
                <w:rFonts w:ascii="宋体" w:hAnsi="宋体" w:eastAsia="宋体"/>
                <w:b/>
                <w:sz w:val="21"/>
              </w:rPr>
              <w:t>利用率</w:t>
            </w:r>
          </w:p>
        </w:tc>
        <w:tc>
          <w:tcPr>
            <w:tcW w:w="1881" w:type="dxa"/>
            <w:tcBorders>
              <w:bottom w:val="single" w:color="000000" w:sz="6" w:space="0"/>
            </w:tcBorders>
            <w:vAlign w:val="center"/>
          </w:tcPr>
          <w:p w14:paraId="1DDC3FC3">
            <w:pPr>
              <w:spacing w:before="0" w:after="0"/>
              <w:jc w:val="center"/>
            </w:pPr>
            <w:r>
              <w:rPr>
                <w:rFonts w:ascii="宋体" w:hAnsi="宋体" w:eastAsia="宋体"/>
                <w:b/>
                <w:sz w:val="21"/>
              </w:rPr>
              <w:t>利润率(总成本口径)</w:t>
            </w:r>
          </w:p>
        </w:tc>
      </w:tr>
      <w:tr w14:paraId="00E990EA">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41DF580A">
            <w:pPr>
              <w:spacing w:before="0" w:after="0"/>
              <w:jc w:val="center"/>
            </w:pPr>
            <w:r>
              <w:rPr>
                <w:rFonts w:ascii="宋体" w:hAnsi="宋体" w:eastAsia="宋体"/>
                <w:sz w:val="21"/>
              </w:rPr>
              <w:t>1</w:t>
            </w:r>
          </w:p>
        </w:tc>
        <w:tc>
          <w:tcPr>
            <w:tcW w:w="1881" w:type="dxa"/>
            <w:vAlign w:val="center"/>
          </w:tcPr>
          <w:p w14:paraId="7567944A">
            <w:pPr>
              <w:spacing w:before="0" w:after="0"/>
              <w:jc w:val="center"/>
            </w:pPr>
            <w:r>
              <w:rPr>
                <w:rFonts w:ascii="Times New Roman" w:hAnsi="Times New Roman"/>
                <w:sz w:val="21"/>
              </w:rPr>
              <w:t>A</w:t>
            </w:r>
          </w:p>
        </w:tc>
        <w:tc>
          <w:tcPr>
            <w:tcW w:w="1881" w:type="dxa"/>
            <w:vAlign w:val="center"/>
          </w:tcPr>
          <w:p w14:paraId="0A27CC65">
            <w:pPr>
              <w:spacing w:before="0" w:after="0"/>
              <w:jc w:val="center"/>
            </w:pPr>
            <w:r>
              <w:rPr>
                <w:rFonts w:ascii="宋体" w:hAnsi="宋体" w:eastAsia="宋体"/>
                <w:sz w:val="21"/>
              </w:rPr>
              <w:t>中型</w:t>
            </w:r>
          </w:p>
        </w:tc>
        <w:tc>
          <w:tcPr>
            <w:tcW w:w="1881" w:type="dxa"/>
            <w:vAlign w:val="center"/>
          </w:tcPr>
          <w:p w14:paraId="7D0ED0F3">
            <w:pPr>
              <w:spacing w:before="0" w:after="0"/>
              <w:jc w:val="center"/>
            </w:pPr>
            <w:r>
              <w:rPr>
                <w:rFonts w:ascii="宋体" w:hAnsi="宋体" w:eastAsia="宋体"/>
                <w:sz w:val="21"/>
              </w:rPr>
              <w:t>82.0%</w:t>
            </w:r>
          </w:p>
        </w:tc>
        <w:tc>
          <w:tcPr>
            <w:tcW w:w="1881" w:type="dxa"/>
            <w:vAlign w:val="center"/>
          </w:tcPr>
          <w:p w14:paraId="7340049D">
            <w:pPr>
              <w:spacing w:before="0" w:after="0"/>
              <w:jc w:val="center"/>
            </w:pPr>
            <w:r>
              <w:rPr>
                <w:rFonts w:ascii="宋体" w:hAnsi="宋体" w:eastAsia="宋体"/>
                <w:sz w:val="21"/>
              </w:rPr>
              <w:t>109.7%</w:t>
            </w:r>
          </w:p>
        </w:tc>
      </w:tr>
      <w:tr w14:paraId="525E2FDF">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38D5BACD">
            <w:pPr>
              <w:spacing w:before="0" w:after="0"/>
              <w:jc w:val="center"/>
            </w:pPr>
            <w:r>
              <w:rPr>
                <w:rFonts w:ascii="宋体" w:hAnsi="宋体" w:eastAsia="宋体"/>
                <w:sz w:val="21"/>
              </w:rPr>
              <w:t>2</w:t>
            </w:r>
          </w:p>
        </w:tc>
        <w:tc>
          <w:tcPr>
            <w:tcW w:w="1881" w:type="dxa"/>
            <w:vAlign w:val="center"/>
          </w:tcPr>
          <w:p w14:paraId="76C3C716">
            <w:pPr>
              <w:spacing w:before="0" w:after="0"/>
              <w:jc w:val="center"/>
            </w:pPr>
            <w:r>
              <w:rPr>
                <w:rFonts w:ascii="Times New Roman" w:hAnsi="Times New Roman"/>
                <w:sz w:val="21"/>
              </w:rPr>
              <w:t>C</w:t>
            </w:r>
          </w:p>
        </w:tc>
        <w:tc>
          <w:tcPr>
            <w:tcW w:w="1881" w:type="dxa"/>
            <w:vAlign w:val="center"/>
          </w:tcPr>
          <w:p w14:paraId="6F44E384">
            <w:pPr>
              <w:spacing w:before="0" w:after="0"/>
              <w:jc w:val="center"/>
            </w:pPr>
            <w:r>
              <w:rPr>
                <w:rFonts w:ascii="宋体" w:hAnsi="宋体" w:eastAsia="宋体"/>
                <w:sz w:val="21"/>
              </w:rPr>
              <w:t>小型</w:t>
            </w:r>
          </w:p>
        </w:tc>
        <w:tc>
          <w:tcPr>
            <w:tcW w:w="1881" w:type="dxa"/>
            <w:vAlign w:val="center"/>
          </w:tcPr>
          <w:p w14:paraId="6A2AEE24">
            <w:pPr>
              <w:spacing w:before="0" w:after="0"/>
              <w:jc w:val="center"/>
            </w:pPr>
            <w:r>
              <w:rPr>
                <w:rFonts w:ascii="宋体" w:hAnsi="宋体" w:eastAsia="宋体"/>
                <w:sz w:val="21"/>
              </w:rPr>
              <w:t>100.0%</w:t>
            </w:r>
          </w:p>
        </w:tc>
        <w:tc>
          <w:tcPr>
            <w:tcW w:w="1881" w:type="dxa"/>
            <w:vAlign w:val="center"/>
          </w:tcPr>
          <w:p w14:paraId="09169AB4">
            <w:pPr>
              <w:spacing w:before="0" w:after="0"/>
              <w:jc w:val="center"/>
            </w:pPr>
            <w:r>
              <w:rPr>
                <w:rFonts w:ascii="宋体" w:hAnsi="宋体" w:eastAsia="宋体"/>
                <w:sz w:val="21"/>
              </w:rPr>
              <w:t>124.2%</w:t>
            </w:r>
          </w:p>
        </w:tc>
      </w:tr>
      <w:tr w14:paraId="5037E736">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5F04DE4A">
            <w:pPr>
              <w:spacing w:before="0" w:after="0"/>
              <w:jc w:val="center"/>
            </w:pPr>
            <w:r>
              <w:rPr>
                <w:rFonts w:ascii="宋体" w:hAnsi="宋体" w:eastAsia="宋体"/>
                <w:sz w:val="21"/>
              </w:rPr>
              <w:t>3</w:t>
            </w:r>
          </w:p>
        </w:tc>
        <w:tc>
          <w:tcPr>
            <w:tcW w:w="1881" w:type="dxa"/>
            <w:vAlign w:val="center"/>
          </w:tcPr>
          <w:p w14:paraId="21BEBA07">
            <w:pPr>
              <w:spacing w:before="0" w:after="0"/>
              <w:jc w:val="center"/>
            </w:pPr>
            <w:r>
              <w:rPr>
                <w:rFonts w:ascii="Times New Roman" w:hAnsi="Times New Roman"/>
                <w:sz w:val="21"/>
              </w:rPr>
              <w:t>G</w:t>
            </w:r>
          </w:p>
        </w:tc>
        <w:tc>
          <w:tcPr>
            <w:tcW w:w="1881" w:type="dxa"/>
            <w:vAlign w:val="center"/>
          </w:tcPr>
          <w:p w14:paraId="15BA8591">
            <w:pPr>
              <w:spacing w:before="0" w:after="0"/>
              <w:jc w:val="center"/>
            </w:pPr>
            <w:r>
              <w:rPr>
                <w:rFonts w:ascii="宋体" w:hAnsi="宋体" w:eastAsia="宋体"/>
                <w:sz w:val="21"/>
              </w:rPr>
              <w:t>小型</w:t>
            </w:r>
          </w:p>
        </w:tc>
        <w:tc>
          <w:tcPr>
            <w:tcW w:w="1881" w:type="dxa"/>
            <w:vAlign w:val="center"/>
          </w:tcPr>
          <w:p w14:paraId="3E88BB1E">
            <w:pPr>
              <w:spacing w:before="0" w:after="0"/>
              <w:jc w:val="center"/>
            </w:pPr>
            <w:r>
              <w:rPr>
                <w:rFonts w:ascii="宋体" w:hAnsi="宋体" w:eastAsia="宋体"/>
                <w:sz w:val="21"/>
              </w:rPr>
              <w:t>51.6%</w:t>
            </w:r>
          </w:p>
        </w:tc>
        <w:tc>
          <w:tcPr>
            <w:tcW w:w="1881" w:type="dxa"/>
            <w:vAlign w:val="center"/>
          </w:tcPr>
          <w:p w14:paraId="42AC8639">
            <w:pPr>
              <w:spacing w:before="0" w:after="0"/>
              <w:jc w:val="center"/>
            </w:pPr>
            <w:r>
              <w:rPr>
                <w:rFonts w:ascii="宋体" w:hAnsi="宋体" w:eastAsia="宋体"/>
                <w:sz w:val="21"/>
              </w:rPr>
              <w:t>25.7%</w:t>
            </w:r>
          </w:p>
        </w:tc>
      </w:tr>
      <w:tr w14:paraId="1B05F08A">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1378CAFC">
            <w:pPr>
              <w:spacing w:before="0" w:after="0"/>
              <w:jc w:val="center"/>
            </w:pPr>
            <w:r>
              <w:rPr>
                <w:rFonts w:ascii="宋体" w:hAnsi="宋体" w:eastAsia="宋体"/>
                <w:sz w:val="21"/>
              </w:rPr>
              <w:t>4</w:t>
            </w:r>
          </w:p>
        </w:tc>
        <w:tc>
          <w:tcPr>
            <w:tcW w:w="1881" w:type="dxa"/>
            <w:vAlign w:val="center"/>
          </w:tcPr>
          <w:p w14:paraId="6A214CE6">
            <w:pPr>
              <w:spacing w:before="0" w:after="0"/>
              <w:jc w:val="center"/>
            </w:pPr>
            <w:r>
              <w:rPr>
                <w:rFonts w:ascii="Times New Roman" w:hAnsi="Times New Roman"/>
                <w:sz w:val="21"/>
              </w:rPr>
              <w:t>I</w:t>
            </w:r>
          </w:p>
        </w:tc>
        <w:tc>
          <w:tcPr>
            <w:tcW w:w="1881" w:type="dxa"/>
            <w:vAlign w:val="center"/>
          </w:tcPr>
          <w:p w14:paraId="319EA00E">
            <w:pPr>
              <w:spacing w:before="0" w:after="0"/>
              <w:jc w:val="center"/>
            </w:pPr>
            <w:r>
              <w:rPr>
                <w:rFonts w:ascii="宋体" w:hAnsi="宋体" w:eastAsia="宋体"/>
                <w:sz w:val="21"/>
              </w:rPr>
              <w:t>小型</w:t>
            </w:r>
          </w:p>
        </w:tc>
        <w:tc>
          <w:tcPr>
            <w:tcW w:w="1881" w:type="dxa"/>
            <w:vAlign w:val="center"/>
          </w:tcPr>
          <w:p w14:paraId="1CA5FEC9">
            <w:pPr>
              <w:spacing w:before="0" w:after="0"/>
              <w:jc w:val="center"/>
            </w:pPr>
            <w:r>
              <w:rPr>
                <w:rFonts w:ascii="宋体" w:hAnsi="宋体" w:eastAsia="宋体"/>
                <w:sz w:val="21"/>
              </w:rPr>
              <w:t>100.0%</w:t>
            </w:r>
          </w:p>
        </w:tc>
        <w:tc>
          <w:tcPr>
            <w:tcW w:w="1881" w:type="dxa"/>
            <w:vAlign w:val="center"/>
          </w:tcPr>
          <w:p w14:paraId="0ABD1FEB">
            <w:pPr>
              <w:spacing w:before="0" w:after="0"/>
              <w:jc w:val="center"/>
            </w:pPr>
            <w:r>
              <w:rPr>
                <w:rFonts w:ascii="宋体" w:hAnsi="宋体" w:eastAsia="宋体"/>
                <w:sz w:val="21"/>
              </w:rPr>
              <w:t>483.3%</w:t>
            </w:r>
          </w:p>
        </w:tc>
      </w:tr>
      <w:tr w14:paraId="72301A39">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0ED10B77">
            <w:pPr>
              <w:spacing w:before="0" w:after="0"/>
              <w:jc w:val="center"/>
            </w:pPr>
            <w:r>
              <w:rPr>
                <w:rFonts w:ascii="宋体" w:hAnsi="宋体" w:eastAsia="宋体"/>
                <w:sz w:val="21"/>
              </w:rPr>
              <w:t>5</w:t>
            </w:r>
          </w:p>
        </w:tc>
        <w:tc>
          <w:tcPr>
            <w:tcW w:w="1881" w:type="dxa"/>
            <w:vAlign w:val="center"/>
          </w:tcPr>
          <w:p w14:paraId="1F365B20">
            <w:pPr>
              <w:spacing w:before="0" w:after="0"/>
              <w:jc w:val="center"/>
            </w:pPr>
            <w:r>
              <w:rPr>
                <w:rFonts w:ascii="Times New Roman" w:hAnsi="Times New Roman"/>
                <w:sz w:val="21"/>
              </w:rPr>
              <w:t>J</w:t>
            </w:r>
          </w:p>
        </w:tc>
        <w:tc>
          <w:tcPr>
            <w:tcW w:w="1881" w:type="dxa"/>
            <w:vAlign w:val="center"/>
          </w:tcPr>
          <w:p w14:paraId="4AED45B6">
            <w:pPr>
              <w:spacing w:before="0" w:after="0"/>
              <w:jc w:val="center"/>
            </w:pPr>
            <w:r>
              <w:rPr>
                <w:rFonts w:ascii="宋体" w:hAnsi="宋体" w:eastAsia="宋体"/>
                <w:sz w:val="21"/>
              </w:rPr>
              <w:t>中型</w:t>
            </w:r>
          </w:p>
        </w:tc>
        <w:tc>
          <w:tcPr>
            <w:tcW w:w="1881" w:type="dxa"/>
            <w:vAlign w:val="center"/>
          </w:tcPr>
          <w:p w14:paraId="7B954269">
            <w:pPr>
              <w:spacing w:before="0" w:after="0"/>
              <w:jc w:val="center"/>
            </w:pPr>
            <w:r>
              <w:rPr>
                <w:rFonts w:ascii="宋体" w:hAnsi="宋体" w:eastAsia="宋体"/>
                <w:sz w:val="21"/>
              </w:rPr>
              <w:t>68.5%</w:t>
            </w:r>
          </w:p>
        </w:tc>
        <w:tc>
          <w:tcPr>
            <w:tcW w:w="1881" w:type="dxa"/>
            <w:vAlign w:val="center"/>
          </w:tcPr>
          <w:p w14:paraId="6F1D8E92">
            <w:pPr>
              <w:spacing w:before="0" w:after="0"/>
              <w:jc w:val="center"/>
            </w:pPr>
            <w:r>
              <w:rPr>
                <w:rFonts w:ascii="宋体" w:hAnsi="宋体" w:eastAsia="宋体"/>
                <w:sz w:val="21"/>
              </w:rPr>
              <w:t>83.6%</w:t>
            </w:r>
          </w:p>
        </w:tc>
      </w:tr>
    </w:tbl>
    <w:p w14:paraId="1590AE7F">
      <w:pPr>
        <w:spacing w:before="80"/>
        <w:jc w:val="center"/>
        <w:rPr>
          <w:rFonts w:ascii="宋体" w:hAnsi="宋体" w:eastAsia="宋体"/>
          <w:b/>
          <w:sz w:val="21"/>
        </w:rPr>
      </w:pPr>
    </w:p>
    <w:p w14:paraId="5836D8C8">
      <w:pPr>
        <w:spacing w:before="80"/>
        <w:jc w:val="center"/>
        <w:rPr>
          <w:rFonts w:ascii="宋体" w:hAnsi="宋体" w:eastAsia="宋体"/>
          <w:b/>
          <w:sz w:val="21"/>
        </w:rPr>
      </w:pPr>
    </w:p>
    <w:p w14:paraId="1D4D7207">
      <w:pPr>
        <w:spacing w:before="80"/>
        <w:jc w:val="center"/>
      </w:pPr>
      <w:r>
        <w:rPr>
          <w:rFonts w:ascii="宋体" w:hAnsi="宋体" w:eastAsia="宋体"/>
          <w:b/>
          <w:sz w:val="21"/>
        </w:rPr>
        <w:t>表7  各小区至最近站点距离验证</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2351"/>
        <w:gridCol w:w="2351"/>
        <w:gridCol w:w="2351"/>
        <w:gridCol w:w="2351"/>
      </w:tblGrid>
      <w:tr w14:paraId="121C6342">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tcBorders>
              <w:bottom w:val="single" w:color="000000" w:sz="6" w:space="0"/>
            </w:tcBorders>
            <w:vAlign w:val="center"/>
          </w:tcPr>
          <w:p w14:paraId="5A1938C4">
            <w:pPr>
              <w:spacing w:before="0" w:after="0"/>
              <w:jc w:val="center"/>
            </w:pPr>
            <w:r>
              <w:rPr>
                <w:rFonts w:ascii="宋体" w:hAnsi="宋体" w:eastAsia="宋体"/>
                <w:b/>
                <w:sz w:val="21"/>
              </w:rPr>
              <w:t>小区</w:t>
            </w:r>
          </w:p>
        </w:tc>
        <w:tc>
          <w:tcPr>
            <w:tcW w:w="2351" w:type="dxa"/>
            <w:tcBorders>
              <w:bottom w:val="single" w:color="000000" w:sz="6" w:space="0"/>
            </w:tcBorders>
            <w:vAlign w:val="center"/>
          </w:tcPr>
          <w:p w14:paraId="604621AD">
            <w:pPr>
              <w:spacing w:before="0" w:after="0"/>
              <w:jc w:val="center"/>
            </w:pPr>
            <w:r>
              <w:rPr>
                <w:rFonts w:ascii="宋体" w:hAnsi="宋体" w:eastAsia="宋体"/>
                <w:b/>
                <w:sz w:val="21"/>
              </w:rPr>
              <w:t>最近站点</w:t>
            </w:r>
          </w:p>
        </w:tc>
        <w:tc>
          <w:tcPr>
            <w:tcW w:w="2351" w:type="dxa"/>
            <w:tcBorders>
              <w:bottom w:val="single" w:color="000000" w:sz="6" w:space="0"/>
            </w:tcBorders>
            <w:vAlign w:val="center"/>
          </w:tcPr>
          <w:p w14:paraId="6E7E6BB6">
            <w:pPr>
              <w:spacing w:before="0" w:after="0"/>
              <w:jc w:val="center"/>
            </w:pPr>
            <w:r>
              <w:rPr>
                <w:rFonts w:ascii="宋体" w:hAnsi="宋体" w:eastAsia="宋体"/>
                <w:b/>
                <w:sz w:val="21"/>
              </w:rPr>
              <w:t>距离(m)</w:t>
            </w:r>
          </w:p>
        </w:tc>
        <w:tc>
          <w:tcPr>
            <w:tcW w:w="2351" w:type="dxa"/>
            <w:tcBorders>
              <w:bottom w:val="single" w:color="000000" w:sz="6" w:space="0"/>
            </w:tcBorders>
            <w:vAlign w:val="center"/>
          </w:tcPr>
          <w:p w14:paraId="4A80F338">
            <w:pPr>
              <w:spacing w:before="0" w:after="0"/>
              <w:jc w:val="center"/>
            </w:pPr>
            <w:r>
              <w:rPr>
                <w:rFonts w:ascii="宋体" w:hAnsi="宋体" w:eastAsia="宋体"/>
                <w:b/>
                <w:sz w:val="21"/>
              </w:rPr>
              <w:t>达标(≤1000m)</w:t>
            </w:r>
          </w:p>
        </w:tc>
      </w:tr>
      <w:tr w14:paraId="434FB674">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5ED6423A">
            <w:pPr>
              <w:spacing w:before="0" w:after="0"/>
              <w:jc w:val="center"/>
            </w:pPr>
            <w:r>
              <w:rPr>
                <w:rFonts w:ascii="Times New Roman" w:hAnsi="Times New Roman"/>
                <w:sz w:val="21"/>
              </w:rPr>
              <w:t>A</w:t>
            </w:r>
          </w:p>
        </w:tc>
        <w:tc>
          <w:tcPr>
            <w:tcW w:w="2351" w:type="dxa"/>
            <w:vAlign w:val="center"/>
          </w:tcPr>
          <w:p w14:paraId="53283DBA">
            <w:pPr>
              <w:spacing w:before="0" w:after="0"/>
              <w:jc w:val="center"/>
            </w:pPr>
            <w:r>
              <w:rPr>
                <w:rFonts w:ascii="Times New Roman" w:hAnsi="Times New Roman"/>
                <w:sz w:val="21"/>
              </w:rPr>
              <w:t>A</w:t>
            </w:r>
          </w:p>
        </w:tc>
        <w:tc>
          <w:tcPr>
            <w:tcW w:w="2351" w:type="dxa"/>
            <w:vAlign w:val="center"/>
          </w:tcPr>
          <w:p w14:paraId="67A3D32B">
            <w:pPr>
              <w:spacing w:before="0" w:after="0"/>
              <w:jc w:val="center"/>
            </w:pPr>
            <w:r>
              <w:rPr>
                <w:rFonts w:ascii="宋体" w:hAnsi="宋体" w:eastAsia="宋体"/>
                <w:sz w:val="21"/>
              </w:rPr>
              <w:t>0</w:t>
            </w:r>
          </w:p>
        </w:tc>
        <w:tc>
          <w:tcPr>
            <w:tcW w:w="2351" w:type="dxa"/>
            <w:vAlign w:val="center"/>
          </w:tcPr>
          <w:p w14:paraId="4ACFD5FB">
            <w:pPr>
              <w:spacing w:before="0" w:after="0"/>
              <w:jc w:val="center"/>
            </w:pPr>
            <w:r>
              <w:rPr>
                <w:rFonts w:ascii="宋体" w:hAnsi="宋体" w:eastAsia="宋体"/>
                <w:sz w:val="21"/>
              </w:rPr>
              <w:t>✓</w:t>
            </w:r>
          </w:p>
        </w:tc>
      </w:tr>
      <w:tr w14:paraId="795A4E19">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170D8993">
            <w:pPr>
              <w:spacing w:before="0" w:after="0"/>
              <w:jc w:val="center"/>
            </w:pPr>
            <w:r>
              <w:rPr>
                <w:rFonts w:ascii="Times New Roman" w:hAnsi="Times New Roman"/>
                <w:sz w:val="21"/>
              </w:rPr>
              <w:t>B</w:t>
            </w:r>
          </w:p>
        </w:tc>
        <w:tc>
          <w:tcPr>
            <w:tcW w:w="2351" w:type="dxa"/>
            <w:vAlign w:val="center"/>
          </w:tcPr>
          <w:p w14:paraId="39327213">
            <w:pPr>
              <w:spacing w:before="0" w:after="0"/>
              <w:jc w:val="center"/>
            </w:pPr>
            <w:r>
              <w:rPr>
                <w:rFonts w:ascii="Times New Roman" w:hAnsi="Times New Roman"/>
                <w:sz w:val="21"/>
              </w:rPr>
              <w:t>J</w:t>
            </w:r>
          </w:p>
        </w:tc>
        <w:tc>
          <w:tcPr>
            <w:tcW w:w="2351" w:type="dxa"/>
            <w:vAlign w:val="center"/>
          </w:tcPr>
          <w:p w14:paraId="37BCB022">
            <w:pPr>
              <w:spacing w:before="0" w:after="0"/>
              <w:jc w:val="center"/>
            </w:pPr>
            <w:r>
              <w:rPr>
                <w:rFonts w:ascii="宋体" w:hAnsi="宋体" w:eastAsia="宋体"/>
                <w:sz w:val="21"/>
              </w:rPr>
              <w:t>300</w:t>
            </w:r>
          </w:p>
        </w:tc>
        <w:tc>
          <w:tcPr>
            <w:tcW w:w="2351" w:type="dxa"/>
            <w:vAlign w:val="center"/>
          </w:tcPr>
          <w:p w14:paraId="1B0C4D5E">
            <w:pPr>
              <w:spacing w:before="0" w:after="0"/>
              <w:jc w:val="center"/>
            </w:pPr>
            <w:r>
              <w:rPr>
                <w:rFonts w:ascii="宋体" w:hAnsi="宋体" w:eastAsia="宋体"/>
                <w:sz w:val="21"/>
              </w:rPr>
              <w:t>✓</w:t>
            </w:r>
          </w:p>
        </w:tc>
      </w:tr>
      <w:tr w14:paraId="2FA761AD">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5BB3E825">
            <w:pPr>
              <w:spacing w:before="0" w:after="0"/>
              <w:jc w:val="center"/>
            </w:pPr>
            <w:r>
              <w:rPr>
                <w:rFonts w:ascii="Times New Roman" w:hAnsi="Times New Roman"/>
                <w:sz w:val="21"/>
              </w:rPr>
              <w:t>C</w:t>
            </w:r>
          </w:p>
        </w:tc>
        <w:tc>
          <w:tcPr>
            <w:tcW w:w="2351" w:type="dxa"/>
            <w:vAlign w:val="center"/>
          </w:tcPr>
          <w:p w14:paraId="6B03FDA3">
            <w:pPr>
              <w:spacing w:before="0" w:after="0"/>
              <w:jc w:val="center"/>
            </w:pPr>
            <w:r>
              <w:rPr>
                <w:rFonts w:ascii="Times New Roman" w:hAnsi="Times New Roman"/>
                <w:sz w:val="21"/>
              </w:rPr>
              <w:t>C</w:t>
            </w:r>
          </w:p>
        </w:tc>
        <w:tc>
          <w:tcPr>
            <w:tcW w:w="2351" w:type="dxa"/>
            <w:vAlign w:val="center"/>
          </w:tcPr>
          <w:p w14:paraId="4C216CF6">
            <w:pPr>
              <w:spacing w:before="0" w:after="0"/>
              <w:jc w:val="center"/>
            </w:pPr>
            <w:r>
              <w:rPr>
                <w:rFonts w:ascii="宋体" w:hAnsi="宋体" w:eastAsia="宋体"/>
                <w:sz w:val="21"/>
              </w:rPr>
              <w:t>0</w:t>
            </w:r>
          </w:p>
        </w:tc>
        <w:tc>
          <w:tcPr>
            <w:tcW w:w="2351" w:type="dxa"/>
            <w:vAlign w:val="center"/>
          </w:tcPr>
          <w:p w14:paraId="74D96DEF">
            <w:pPr>
              <w:spacing w:before="0" w:after="0"/>
              <w:jc w:val="center"/>
            </w:pPr>
            <w:r>
              <w:rPr>
                <w:rFonts w:ascii="宋体" w:hAnsi="宋体" w:eastAsia="宋体"/>
                <w:sz w:val="21"/>
              </w:rPr>
              <w:t>✓</w:t>
            </w:r>
          </w:p>
        </w:tc>
      </w:tr>
      <w:tr w14:paraId="4A48765F">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7CAF4261">
            <w:pPr>
              <w:spacing w:before="0" w:after="0"/>
              <w:jc w:val="center"/>
            </w:pPr>
            <w:r>
              <w:rPr>
                <w:rFonts w:ascii="Times New Roman" w:hAnsi="Times New Roman"/>
                <w:sz w:val="21"/>
              </w:rPr>
              <w:t>D</w:t>
            </w:r>
          </w:p>
        </w:tc>
        <w:tc>
          <w:tcPr>
            <w:tcW w:w="2351" w:type="dxa"/>
            <w:vAlign w:val="center"/>
          </w:tcPr>
          <w:p w14:paraId="2981C8A4">
            <w:pPr>
              <w:spacing w:before="0" w:after="0"/>
              <w:jc w:val="center"/>
            </w:pPr>
            <w:r>
              <w:rPr>
                <w:rFonts w:ascii="Times New Roman" w:hAnsi="Times New Roman"/>
                <w:sz w:val="21"/>
              </w:rPr>
              <w:t>J</w:t>
            </w:r>
          </w:p>
        </w:tc>
        <w:tc>
          <w:tcPr>
            <w:tcW w:w="2351" w:type="dxa"/>
            <w:vAlign w:val="center"/>
          </w:tcPr>
          <w:p w14:paraId="525DACAA">
            <w:pPr>
              <w:spacing w:before="0" w:after="0"/>
              <w:jc w:val="center"/>
            </w:pPr>
            <w:r>
              <w:rPr>
                <w:rFonts w:ascii="宋体" w:hAnsi="宋体" w:eastAsia="宋体"/>
                <w:sz w:val="21"/>
              </w:rPr>
              <w:t>400</w:t>
            </w:r>
          </w:p>
        </w:tc>
        <w:tc>
          <w:tcPr>
            <w:tcW w:w="2351" w:type="dxa"/>
            <w:vAlign w:val="center"/>
          </w:tcPr>
          <w:p w14:paraId="02DED868">
            <w:pPr>
              <w:spacing w:before="0" w:after="0"/>
              <w:jc w:val="center"/>
            </w:pPr>
            <w:r>
              <w:rPr>
                <w:rFonts w:ascii="宋体" w:hAnsi="宋体" w:eastAsia="宋体"/>
                <w:sz w:val="21"/>
              </w:rPr>
              <w:t>✓</w:t>
            </w:r>
          </w:p>
        </w:tc>
      </w:tr>
      <w:tr w14:paraId="6C113BBA">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0ABCF157">
            <w:pPr>
              <w:spacing w:before="0" w:after="0"/>
              <w:jc w:val="center"/>
            </w:pPr>
            <w:r>
              <w:rPr>
                <w:rFonts w:ascii="Times New Roman" w:hAnsi="Times New Roman"/>
                <w:sz w:val="21"/>
              </w:rPr>
              <w:t>E</w:t>
            </w:r>
          </w:p>
        </w:tc>
        <w:tc>
          <w:tcPr>
            <w:tcW w:w="2351" w:type="dxa"/>
            <w:vAlign w:val="center"/>
          </w:tcPr>
          <w:p w14:paraId="20DF640D">
            <w:pPr>
              <w:spacing w:before="0" w:after="0"/>
              <w:jc w:val="center"/>
            </w:pPr>
            <w:r>
              <w:rPr>
                <w:rFonts w:ascii="Times New Roman" w:hAnsi="Times New Roman"/>
                <w:sz w:val="21"/>
              </w:rPr>
              <w:t>G</w:t>
            </w:r>
          </w:p>
        </w:tc>
        <w:tc>
          <w:tcPr>
            <w:tcW w:w="2351" w:type="dxa"/>
            <w:vAlign w:val="center"/>
          </w:tcPr>
          <w:p w14:paraId="62C85DEF">
            <w:pPr>
              <w:spacing w:before="0" w:after="0"/>
              <w:jc w:val="center"/>
            </w:pPr>
            <w:r>
              <w:rPr>
                <w:rFonts w:ascii="宋体" w:hAnsi="宋体" w:eastAsia="宋体"/>
                <w:sz w:val="21"/>
              </w:rPr>
              <w:t>400</w:t>
            </w:r>
          </w:p>
        </w:tc>
        <w:tc>
          <w:tcPr>
            <w:tcW w:w="2351" w:type="dxa"/>
            <w:vAlign w:val="center"/>
          </w:tcPr>
          <w:p w14:paraId="73D056C6">
            <w:pPr>
              <w:spacing w:before="0" w:after="0"/>
              <w:jc w:val="center"/>
            </w:pPr>
            <w:r>
              <w:rPr>
                <w:rFonts w:ascii="宋体" w:hAnsi="宋体" w:eastAsia="宋体"/>
                <w:sz w:val="21"/>
              </w:rPr>
              <w:t>✓</w:t>
            </w:r>
          </w:p>
        </w:tc>
      </w:tr>
      <w:tr w14:paraId="378C3DCE">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59A02A30">
            <w:pPr>
              <w:spacing w:before="0" w:after="0"/>
              <w:jc w:val="center"/>
            </w:pPr>
            <w:r>
              <w:rPr>
                <w:rFonts w:ascii="Times New Roman" w:hAnsi="Times New Roman"/>
                <w:sz w:val="21"/>
              </w:rPr>
              <w:t>F</w:t>
            </w:r>
          </w:p>
        </w:tc>
        <w:tc>
          <w:tcPr>
            <w:tcW w:w="2351" w:type="dxa"/>
            <w:vAlign w:val="center"/>
          </w:tcPr>
          <w:p w14:paraId="719EAAD9">
            <w:pPr>
              <w:spacing w:before="0" w:after="0"/>
              <w:jc w:val="center"/>
            </w:pPr>
            <w:r>
              <w:rPr>
                <w:rFonts w:ascii="Times New Roman" w:hAnsi="Times New Roman"/>
                <w:sz w:val="21"/>
              </w:rPr>
              <w:t>G</w:t>
            </w:r>
          </w:p>
        </w:tc>
        <w:tc>
          <w:tcPr>
            <w:tcW w:w="2351" w:type="dxa"/>
            <w:vAlign w:val="center"/>
          </w:tcPr>
          <w:p w14:paraId="65C59AE3">
            <w:pPr>
              <w:spacing w:before="0" w:after="0"/>
              <w:jc w:val="center"/>
            </w:pPr>
            <w:r>
              <w:rPr>
                <w:rFonts w:ascii="宋体" w:hAnsi="宋体" w:eastAsia="宋体"/>
                <w:sz w:val="21"/>
              </w:rPr>
              <w:t>500</w:t>
            </w:r>
          </w:p>
        </w:tc>
        <w:tc>
          <w:tcPr>
            <w:tcW w:w="2351" w:type="dxa"/>
            <w:vAlign w:val="center"/>
          </w:tcPr>
          <w:p w14:paraId="596BA9BF">
            <w:pPr>
              <w:spacing w:before="0" w:after="0"/>
              <w:jc w:val="center"/>
            </w:pPr>
            <w:r>
              <w:rPr>
                <w:rFonts w:ascii="宋体" w:hAnsi="宋体" w:eastAsia="宋体"/>
                <w:sz w:val="21"/>
              </w:rPr>
              <w:t>✓</w:t>
            </w:r>
          </w:p>
        </w:tc>
      </w:tr>
      <w:tr w14:paraId="14A51D23">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39286F39">
            <w:pPr>
              <w:spacing w:before="0" w:after="0"/>
              <w:jc w:val="center"/>
            </w:pPr>
            <w:r>
              <w:rPr>
                <w:rFonts w:ascii="Times New Roman" w:hAnsi="Times New Roman"/>
                <w:sz w:val="21"/>
              </w:rPr>
              <w:t>G</w:t>
            </w:r>
          </w:p>
        </w:tc>
        <w:tc>
          <w:tcPr>
            <w:tcW w:w="2351" w:type="dxa"/>
            <w:vAlign w:val="center"/>
          </w:tcPr>
          <w:p w14:paraId="173A8019">
            <w:pPr>
              <w:spacing w:before="0" w:after="0"/>
              <w:jc w:val="center"/>
            </w:pPr>
            <w:r>
              <w:rPr>
                <w:rFonts w:ascii="Times New Roman" w:hAnsi="Times New Roman"/>
                <w:sz w:val="21"/>
              </w:rPr>
              <w:t>G</w:t>
            </w:r>
          </w:p>
        </w:tc>
        <w:tc>
          <w:tcPr>
            <w:tcW w:w="2351" w:type="dxa"/>
            <w:vAlign w:val="center"/>
          </w:tcPr>
          <w:p w14:paraId="2AE959F0">
            <w:pPr>
              <w:spacing w:before="0" w:after="0"/>
              <w:jc w:val="center"/>
            </w:pPr>
            <w:r>
              <w:rPr>
                <w:rFonts w:ascii="宋体" w:hAnsi="宋体" w:eastAsia="宋体"/>
                <w:sz w:val="21"/>
              </w:rPr>
              <w:t>0</w:t>
            </w:r>
          </w:p>
        </w:tc>
        <w:tc>
          <w:tcPr>
            <w:tcW w:w="2351" w:type="dxa"/>
            <w:vAlign w:val="center"/>
          </w:tcPr>
          <w:p w14:paraId="18BC4B59">
            <w:pPr>
              <w:spacing w:before="0" w:after="0"/>
              <w:jc w:val="center"/>
            </w:pPr>
            <w:r>
              <w:rPr>
                <w:rFonts w:ascii="宋体" w:hAnsi="宋体" w:eastAsia="宋体"/>
                <w:sz w:val="21"/>
              </w:rPr>
              <w:t>✓</w:t>
            </w:r>
          </w:p>
        </w:tc>
      </w:tr>
      <w:tr w14:paraId="48A6ACED">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11F085D8">
            <w:pPr>
              <w:spacing w:before="0" w:after="0"/>
              <w:jc w:val="center"/>
            </w:pPr>
            <w:r>
              <w:rPr>
                <w:rFonts w:ascii="Times New Roman" w:hAnsi="Times New Roman"/>
                <w:sz w:val="21"/>
              </w:rPr>
              <w:t>H</w:t>
            </w:r>
          </w:p>
        </w:tc>
        <w:tc>
          <w:tcPr>
            <w:tcW w:w="2351" w:type="dxa"/>
            <w:vAlign w:val="center"/>
          </w:tcPr>
          <w:p w14:paraId="67065322">
            <w:pPr>
              <w:spacing w:before="0" w:after="0"/>
              <w:jc w:val="center"/>
            </w:pPr>
            <w:r>
              <w:rPr>
                <w:rFonts w:ascii="Times New Roman" w:hAnsi="Times New Roman"/>
                <w:sz w:val="21"/>
              </w:rPr>
              <w:t>J</w:t>
            </w:r>
          </w:p>
        </w:tc>
        <w:tc>
          <w:tcPr>
            <w:tcW w:w="2351" w:type="dxa"/>
            <w:vAlign w:val="center"/>
          </w:tcPr>
          <w:p w14:paraId="5DE414C6">
            <w:pPr>
              <w:spacing w:before="0" w:after="0"/>
              <w:jc w:val="center"/>
            </w:pPr>
            <w:r>
              <w:rPr>
                <w:rFonts w:ascii="宋体" w:hAnsi="宋体" w:eastAsia="宋体"/>
                <w:sz w:val="21"/>
              </w:rPr>
              <w:t>300</w:t>
            </w:r>
          </w:p>
        </w:tc>
        <w:tc>
          <w:tcPr>
            <w:tcW w:w="2351" w:type="dxa"/>
            <w:vAlign w:val="center"/>
          </w:tcPr>
          <w:p w14:paraId="3CB85759">
            <w:pPr>
              <w:spacing w:before="0" w:after="0"/>
              <w:jc w:val="center"/>
            </w:pPr>
            <w:r>
              <w:rPr>
                <w:rFonts w:ascii="宋体" w:hAnsi="宋体" w:eastAsia="宋体"/>
                <w:sz w:val="21"/>
              </w:rPr>
              <w:t>✓</w:t>
            </w:r>
          </w:p>
        </w:tc>
      </w:tr>
      <w:tr w14:paraId="55BE3A47">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37E91F5C">
            <w:pPr>
              <w:spacing w:before="0" w:after="0"/>
              <w:jc w:val="center"/>
            </w:pPr>
            <w:r>
              <w:rPr>
                <w:rFonts w:ascii="Times New Roman" w:hAnsi="Times New Roman"/>
                <w:sz w:val="21"/>
              </w:rPr>
              <w:t>I</w:t>
            </w:r>
          </w:p>
        </w:tc>
        <w:tc>
          <w:tcPr>
            <w:tcW w:w="2351" w:type="dxa"/>
            <w:vAlign w:val="center"/>
          </w:tcPr>
          <w:p w14:paraId="65415DBD">
            <w:pPr>
              <w:spacing w:before="0" w:after="0"/>
              <w:jc w:val="center"/>
            </w:pPr>
            <w:r>
              <w:rPr>
                <w:rFonts w:ascii="Times New Roman" w:hAnsi="Times New Roman"/>
                <w:sz w:val="21"/>
              </w:rPr>
              <w:t>I</w:t>
            </w:r>
          </w:p>
        </w:tc>
        <w:tc>
          <w:tcPr>
            <w:tcW w:w="2351" w:type="dxa"/>
            <w:vAlign w:val="center"/>
          </w:tcPr>
          <w:p w14:paraId="09AFE94A">
            <w:pPr>
              <w:spacing w:before="0" w:after="0"/>
              <w:jc w:val="center"/>
            </w:pPr>
            <w:r>
              <w:rPr>
                <w:rFonts w:ascii="宋体" w:hAnsi="宋体" w:eastAsia="宋体"/>
                <w:sz w:val="21"/>
              </w:rPr>
              <w:t>0</w:t>
            </w:r>
          </w:p>
        </w:tc>
        <w:tc>
          <w:tcPr>
            <w:tcW w:w="2351" w:type="dxa"/>
            <w:vAlign w:val="center"/>
          </w:tcPr>
          <w:p w14:paraId="174A190D">
            <w:pPr>
              <w:spacing w:before="0" w:after="0"/>
              <w:jc w:val="center"/>
            </w:pPr>
            <w:r>
              <w:rPr>
                <w:rFonts w:ascii="宋体" w:hAnsi="宋体" w:eastAsia="宋体"/>
                <w:sz w:val="21"/>
              </w:rPr>
              <w:t>✓</w:t>
            </w:r>
          </w:p>
        </w:tc>
      </w:tr>
      <w:tr w14:paraId="6DC3341E">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6CB5C526">
            <w:pPr>
              <w:spacing w:before="0" w:after="0"/>
              <w:jc w:val="center"/>
            </w:pPr>
            <w:r>
              <w:rPr>
                <w:rFonts w:ascii="Times New Roman" w:hAnsi="Times New Roman"/>
                <w:sz w:val="21"/>
              </w:rPr>
              <w:t>J</w:t>
            </w:r>
          </w:p>
        </w:tc>
        <w:tc>
          <w:tcPr>
            <w:tcW w:w="2351" w:type="dxa"/>
            <w:vAlign w:val="center"/>
          </w:tcPr>
          <w:p w14:paraId="5184C5CF">
            <w:pPr>
              <w:spacing w:before="0" w:after="0"/>
              <w:jc w:val="center"/>
            </w:pPr>
            <w:r>
              <w:rPr>
                <w:rFonts w:ascii="Times New Roman" w:hAnsi="Times New Roman"/>
                <w:sz w:val="21"/>
              </w:rPr>
              <w:t>J</w:t>
            </w:r>
          </w:p>
        </w:tc>
        <w:tc>
          <w:tcPr>
            <w:tcW w:w="2351" w:type="dxa"/>
            <w:vAlign w:val="center"/>
          </w:tcPr>
          <w:p w14:paraId="233B57B8">
            <w:pPr>
              <w:spacing w:before="0" w:after="0"/>
              <w:jc w:val="center"/>
            </w:pPr>
            <w:r>
              <w:rPr>
                <w:rFonts w:ascii="宋体" w:hAnsi="宋体" w:eastAsia="宋体"/>
                <w:sz w:val="21"/>
              </w:rPr>
              <w:t>0</w:t>
            </w:r>
          </w:p>
        </w:tc>
        <w:tc>
          <w:tcPr>
            <w:tcW w:w="2351" w:type="dxa"/>
            <w:vAlign w:val="center"/>
          </w:tcPr>
          <w:p w14:paraId="7BD72F88">
            <w:pPr>
              <w:spacing w:before="0" w:after="0"/>
              <w:jc w:val="center"/>
            </w:pPr>
            <w:r>
              <w:rPr>
                <w:rFonts w:ascii="宋体" w:hAnsi="宋体" w:eastAsia="宋体"/>
                <w:sz w:val="21"/>
              </w:rPr>
              <w:t>✓</w:t>
            </w:r>
          </w:p>
        </w:tc>
      </w:tr>
    </w:tbl>
    <w:p w14:paraId="753C0DE7">
      <w:pPr>
        <w:spacing w:line="360" w:lineRule="auto"/>
        <w:ind w:firstLine="480"/>
      </w:pPr>
      <w:r>
        <w:rPr>
          <w:rFonts w:ascii="Times New Roman" w:hAnsi="Times New Roman" w:eastAsia="宋体"/>
          <w:sz w:val="24"/>
        </w:rPr>
        <w:t>表6验证了1000m服务半径约束被严格满足：10个小区均至少有一个站点在有效距离内。最远为F小区→G站500m，距离约束余量充足。该覆盖结构表明5站方案已达到当前预算下的最优空间配置——任何站点的减少均会导致至少一个小区超出服务半径。</w:t>
      </w:r>
    </w:p>
    <w:p w14:paraId="3079EC78">
      <w:pPr>
        <w:jc w:val="center"/>
      </w:pPr>
      <w:r>
        <w:drawing>
          <wp:inline distT="0" distB="0" distL="114300" distR="114300">
            <wp:extent cx="4206240" cy="5160645"/>
            <wp:effectExtent l="0" t="0" r="1016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206240" cy="5160915"/>
                    </a:xfrm>
                    <a:prstGeom prst="rect">
                      <a:avLst/>
                    </a:prstGeom>
                  </pic:spPr>
                </pic:pic>
              </a:graphicData>
            </a:graphic>
          </wp:inline>
        </w:drawing>
      </w:r>
    </w:p>
    <w:p w14:paraId="55650653">
      <w:pPr>
        <w:jc w:val="center"/>
      </w:pPr>
      <w:r>
        <w:rPr>
          <w:rFonts w:ascii="宋体" w:hAnsi="宋体" w:eastAsia="宋体"/>
          <w:b/>
          <w:sz w:val="21"/>
        </w:rPr>
        <w:t>图6  最优空间布局（A/J双中型枢纽；淡蓝填充圆=1000m服务半径）</w:t>
      </w:r>
    </w:p>
    <w:p w14:paraId="202FE090">
      <w:pPr>
        <w:spacing w:line="360" w:lineRule="auto"/>
        <w:ind w:firstLine="480"/>
      </w:pPr>
      <w:r>
        <w:rPr>
          <w:rFonts w:ascii="Times New Roman" w:hAnsi="Times New Roman" w:eastAsia="宋体"/>
          <w:sz w:val="24"/>
        </w:rPr>
        <w:t>图6的布局图显示：A站（中型，西北）和J站（中型，中部）构成双枢纽，覆盖了10个小区中的8个（B、D、H、J在A和J的半径重叠区内）。三个小型站（C/G/I）填补了南部和东部的服务盲区。灰色连线仅连接距离≤1000m的小区对，可见所有小区均至少与一个站点直接相通。</w:t>
      </w:r>
    </w:p>
    <w:p w14:paraId="678B9C5D">
      <w:pPr>
        <w:jc w:val="center"/>
      </w:pPr>
      <w:r>
        <w:drawing>
          <wp:inline distT="0" distB="0" distL="114300" distR="114300">
            <wp:extent cx="4206240" cy="2167890"/>
            <wp:effectExtent l="0" t="0" r="1016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206240" cy="2168377"/>
                    </a:xfrm>
                    <a:prstGeom prst="rect">
                      <a:avLst/>
                    </a:prstGeom>
                  </pic:spPr>
                </pic:pic>
              </a:graphicData>
            </a:graphic>
          </wp:inline>
        </w:drawing>
      </w:r>
    </w:p>
    <w:p w14:paraId="148719C0">
      <w:pPr>
        <w:jc w:val="center"/>
      </w:pPr>
      <w:r>
        <w:rPr>
          <w:rFonts w:ascii="宋体" w:hAnsi="宋体" w:eastAsia="宋体"/>
          <w:b/>
          <w:sz w:val="21"/>
        </w:rPr>
        <w:t>图7  各站利用率与利润率（棒棒糖图：横线长度=利用率，圆点大小∝利润率）</w:t>
      </w:r>
    </w:p>
    <w:p w14:paraId="10BFF220">
      <w:pPr>
        <w:spacing w:line="360" w:lineRule="auto"/>
        <w:ind w:firstLine="480"/>
      </w:pPr>
      <w:r>
        <w:rPr>
          <w:rFonts w:ascii="Times New Roman" w:hAnsi="Times New Roman" w:eastAsia="宋体"/>
          <w:sz w:val="24"/>
        </w:rPr>
        <w:t>图7以双编码方式同时呈现利用率和利润率。C站和I站满负荷运行（ρ=100%），且I站利润率异常突出（圆点显著大于其他站），反映出高需求密度+低固定成本小型站的规模效应。G站仅51.6%利用率，作为边缘补充节点的定位明确——牺牲自身效率换取整体覆盖率。</w:t>
      </w:r>
    </w:p>
    <w:p w14:paraId="3922D96C">
      <w:pPr>
        <w:jc w:val="center"/>
      </w:pPr>
      <w:r>
        <w:drawing>
          <wp:inline distT="0" distB="0" distL="114300" distR="114300">
            <wp:extent cx="4206240" cy="3147060"/>
            <wp:effectExtent l="0" t="0" r="1016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206240" cy="3147623"/>
                    </a:xfrm>
                    <a:prstGeom prst="rect">
                      <a:avLst/>
                    </a:prstGeom>
                  </pic:spPr>
                </pic:pic>
              </a:graphicData>
            </a:graphic>
          </wp:inline>
        </w:drawing>
      </w:r>
    </w:p>
    <w:p w14:paraId="4D78B613">
      <w:pPr>
        <w:jc w:val="center"/>
      </w:pPr>
      <w:r>
        <w:rPr>
          <w:rFonts w:ascii="宋体" w:hAnsi="宋体" w:eastAsia="宋体"/>
          <w:b/>
          <w:sz w:val="21"/>
        </w:rPr>
        <w:t>图8  Pareto前沿（★最优解：覆盖率100%，满意度0.926）</w:t>
      </w:r>
    </w:p>
    <w:p w14:paraId="2C0F0302">
      <w:pPr>
        <w:spacing w:line="360" w:lineRule="auto"/>
        <w:ind w:firstLine="480"/>
      </w:pPr>
      <w:r>
        <w:rPr>
          <w:rFonts w:ascii="Times New Roman" w:hAnsi="Times New Roman" w:eastAsia="宋体"/>
          <w:sz w:val="24"/>
        </w:rPr>
        <w:t>图8的Pareto前沿在覆盖率85%处出现清晰拐点：此前满意度随覆盖率提升而缓慢上升（0.837→0.857），此后每提升1%覆盖率需付出更大的满意度代价。最优解（★）位于前沿右端点，验证了"覆盖率≥85%"作为硬约束的合理性。</w:t>
      </w:r>
    </w:p>
    <w:p w14:paraId="3173D2BC">
      <w:pPr>
        <w:spacing w:line="360" w:lineRule="auto"/>
        <w:ind w:firstLine="480"/>
      </w:pPr>
      <w:r>
        <w:rPr>
          <w:rFonts w:ascii="Times New Roman" w:hAnsi="Times New Roman" w:eastAsia="宋体"/>
          <w:sz w:val="24"/>
        </w:rPr>
        <w:t>空间公平性方面，10个小区的距离满意度S1分布为[1.00,1.00,1.00,0.90,0.90,0.90,1.00,1.00,1.00,1.00]，满意度Gini系数仅0.022（&lt;0.2为高度均等）。为进一步量化多维度公平性，从满意度、距离合规、可负担性三个维度进行评估（表7）。距离维度采用"1000m合规率"代替Gini——因为距离的零下界（自带站点小区距离为0）使Gini对小数值过度敏感而失真。在1000m硬约束下，全部10小区距离合规率100%，平均最近站距离267m（标准差189m），绝对可达性完全达标。可负担性Gini（0.318）主要由F区（2700元）和D区（2900元）的低α值驱动，提示补贴政策的空间靶向性。</w:t>
      </w:r>
    </w:p>
    <w:p w14:paraId="511C3DAC">
      <w:pPr>
        <w:spacing w:before="80"/>
        <w:jc w:val="center"/>
      </w:pPr>
      <w:r>
        <w:rPr>
          <w:rFonts w:ascii="宋体" w:hAnsi="宋体" w:eastAsia="宋体"/>
          <w:b/>
          <w:sz w:val="21"/>
        </w:rPr>
        <w:t>表8  三维公平性指标</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1881"/>
        <w:gridCol w:w="1881"/>
        <w:gridCol w:w="1881"/>
        <w:gridCol w:w="1881"/>
        <w:gridCol w:w="1881"/>
      </w:tblGrid>
      <w:tr w14:paraId="66FDC6F3">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tcBorders>
              <w:bottom w:val="single" w:color="000000" w:sz="6" w:space="0"/>
            </w:tcBorders>
            <w:vAlign w:val="center"/>
          </w:tcPr>
          <w:p w14:paraId="1CC31B07">
            <w:pPr>
              <w:spacing w:before="0" w:after="0"/>
              <w:jc w:val="center"/>
            </w:pPr>
            <w:r>
              <w:rPr>
                <w:rFonts w:ascii="宋体" w:hAnsi="宋体" w:eastAsia="宋体"/>
                <w:b/>
                <w:sz w:val="21"/>
              </w:rPr>
              <w:t>维度</w:t>
            </w:r>
          </w:p>
        </w:tc>
        <w:tc>
          <w:tcPr>
            <w:tcW w:w="1881" w:type="dxa"/>
            <w:tcBorders>
              <w:bottom w:val="single" w:color="000000" w:sz="6" w:space="0"/>
            </w:tcBorders>
            <w:vAlign w:val="center"/>
          </w:tcPr>
          <w:p w14:paraId="514298FF">
            <w:pPr>
              <w:spacing w:before="0" w:after="0"/>
              <w:jc w:val="center"/>
            </w:pPr>
            <w:r>
              <w:rPr>
                <w:rFonts w:ascii="宋体" w:hAnsi="宋体" w:eastAsia="宋体"/>
                <w:b/>
                <w:sz w:val="21"/>
              </w:rPr>
              <w:t>指标</w:t>
            </w:r>
          </w:p>
        </w:tc>
        <w:tc>
          <w:tcPr>
            <w:tcW w:w="1881" w:type="dxa"/>
            <w:tcBorders>
              <w:bottom w:val="single" w:color="000000" w:sz="6" w:space="0"/>
            </w:tcBorders>
            <w:vAlign w:val="center"/>
          </w:tcPr>
          <w:p w14:paraId="19454F71">
            <w:pPr>
              <w:spacing w:before="0" w:after="0"/>
              <w:jc w:val="center"/>
            </w:pPr>
            <w:r>
              <w:rPr>
                <w:rFonts w:ascii="宋体" w:hAnsi="宋体" w:eastAsia="宋体"/>
                <w:b/>
                <w:sz w:val="21"/>
              </w:rPr>
              <w:t>数值</w:t>
            </w:r>
          </w:p>
        </w:tc>
        <w:tc>
          <w:tcPr>
            <w:tcW w:w="1881" w:type="dxa"/>
            <w:tcBorders>
              <w:bottom w:val="single" w:color="000000" w:sz="6" w:space="0"/>
            </w:tcBorders>
            <w:vAlign w:val="center"/>
          </w:tcPr>
          <w:p w14:paraId="76E0CBD4">
            <w:pPr>
              <w:spacing w:before="0" w:after="0"/>
              <w:jc w:val="center"/>
            </w:pPr>
            <w:r>
              <w:rPr>
                <w:rFonts w:ascii="宋体" w:hAnsi="宋体" w:eastAsia="宋体"/>
                <w:b/>
                <w:sz w:val="21"/>
              </w:rPr>
              <w:t>评级</w:t>
            </w:r>
          </w:p>
        </w:tc>
        <w:tc>
          <w:tcPr>
            <w:tcW w:w="1881" w:type="dxa"/>
            <w:tcBorders>
              <w:bottom w:val="single" w:color="000000" w:sz="6" w:space="0"/>
            </w:tcBorders>
            <w:vAlign w:val="center"/>
          </w:tcPr>
          <w:p w14:paraId="33A9269F">
            <w:pPr>
              <w:spacing w:before="0" w:after="0"/>
              <w:jc w:val="center"/>
            </w:pPr>
            <w:r>
              <w:rPr>
                <w:rFonts w:ascii="宋体" w:hAnsi="宋体" w:eastAsia="宋体"/>
                <w:b/>
                <w:sz w:val="21"/>
              </w:rPr>
              <w:t>说明</w:t>
            </w:r>
          </w:p>
        </w:tc>
      </w:tr>
      <w:tr w14:paraId="66FE5A04">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1820264A">
            <w:pPr>
              <w:spacing w:before="0" w:after="0"/>
              <w:jc w:val="center"/>
            </w:pPr>
            <w:r>
              <w:rPr>
                <w:rFonts w:ascii="宋体" w:hAnsi="宋体" w:eastAsia="宋体"/>
                <w:sz w:val="21"/>
              </w:rPr>
              <w:t>满意度</w:t>
            </w:r>
          </w:p>
        </w:tc>
        <w:tc>
          <w:tcPr>
            <w:tcW w:w="1881" w:type="dxa"/>
            <w:vAlign w:val="center"/>
          </w:tcPr>
          <w:p w14:paraId="7E2BAE01">
            <w:pPr>
              <w:spacing w:before="0" w:after="0"/>
              <w:jc w:val="center"/>
            </w:pPr>
            <w:r>
              <w:rPr>
                <w:rFonts w:ascii="Times New Roman" w:hAnsi="Times New Roman"/>
                <w:sz w:val="21"/>
              </w:rPr>
              <w:t>10小区S值Gini</w:t>
            </w:r>
          </w:p>
        </w:tc>
        <w:tc>
          <w:tcPr>
            <w:tcW w:w="1881" w:type="dxa"/>
            <w:vAlign w:val="center"/>
          </w:tcPr>
          <w:p w14:paraId="3BF1D4AA">
            <w:pPr>
              <w:spacing w:before="0" w:after="0"/>
              <w:jc w:val="center"/>
            </w:pPr>
            <w:r>
              <w:rPr>
                <w:rFonts w:ascii="宋体" w:hAnsi="宋体" w:eastAsia="宋体"/>
                <w:sz w:val="21"/>
              </w:rPr>
              <w:t>0.022</w:t>
            </w:r>
          </w:p>
        </w:tc>
        <w:tc>
          <w:tcPr>
            <w:tcW w:w="1881" w:type="dxa"/>
            <w:vAlign w:val="center"/>
          </w:tcPr>
          <w:p w14:paraId="7D4B1772">
            <w:pPr>
              <w:spacing w:before="0" w:after="0"/>
              <w:jc w:val="center"/>
            </w:pPr>
            <w:r>
              <w:rPr>
                <w:rFonts w:ascii="宋体" w:hAnsi="宋体" w:eastAsia="宋体"/>
                <w:sz w:val="21"/>
              </w:rPr>
              <w:t>高度均等</w:t>
            </w:r>
          </w:p>
        </w:tc>
        <w:tc>
          <w:tcPr>
            <w:tcW w:w="1881" w:type="dxa"/>
            <w:vAlign w:val="center"/>
          </w:tcPr>
          <w:p w14:paraId="11D48BF7">
            <w:pPr>
              <w:spacing w:before="0" w:after="0"/>
              <w:jc w:val="center"/>
            </w:pPr>
            <w:r>
              <w:rPr>
                <w:rFonts w:ascii="Times New Roman" w:hAnsi="Times New Roman"/>
                <w:sz w:val="21"/>
              </w:rPr>
              <w:t>1000m半径+最优分配规则保障</w:t>
            </w:r>
          </w:p>
        </w:tc>
      </w:tr>
      <w:tr w14:paraId="7DF13156">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039E0EBA">
            <w:pPr>
              <w:spacing w:before="0" w:after="0"/>
              <w:jc w:val="center"/>
            </w:pPr>
            <w:r>
              <w:rPr>
                <w:rFonts w:ascii="宋体" w:hAnsi="宋体" w:eastAsia="宋体"/>
                <w:sz w:val="21"/>
              </w:rPr>
              <w:t>距离合规</w:t>
            </w:r>
          </w:p>
        </w:tc>
        <w:tc>
          <w:tcPr>
            <w:tcW w:w="1881" w:type="dxa"/>
            <w:vAlign w:val="center"/>
          </w:tcPr>
          <w:p w14:paraId="180C761F">
            <w:pPr>
              <w:spacing w:before="0" w:after="0"/>
              <w:jc w:val="center"/>
            </w:pPr>
            <w:r>
              <w:rPr>
                <w:rFonts w:ascii="Times New Roman" w:hAnsi="Times New Roman"/>
                <w:sz w:val="21"/>
              </w:rPr>
              <w:t>1000m内合规率</w:t>
            </w:r>
          </w:p>
        </w:tc>
        <w:tc>
          <w:tcPr>
            <w:tcW w:w="1881" w:type="dxa"/>
            <w:vAlign w:val="center"/>
          </w:tcPr>
          <w:p w14:paraId="62026CBE">
            <w:pPr>
              <w:spacing w:before="0" w:after="0"/>
              <w:jc w:val="center"/>
            </w:pPr>
            <w:r>
              <w:rPr>
                <w:rFonts w:ascii="宋体" w:hAnsi="宋体" w:eastAsia="宋体"/>
                <w:sz w:val="21"/>
              </w:rPr>
              <w:t>100%</w:t>
            </w:r>
          </w:p>
        </w:tc>
        <w:tc>
          <w:tcPr>
            <w:tcW w:w="1881" w:type="dxa"/>
            <w:vAlign w:val="center"/>
          </w:tcPr>
          <w:p w14:paraId="613128F5">
            <w:pPr>
              <w:spacing w:before="0" w:after="0"/>
              <w:jc w:val="center"/>
            </w:pPr>
            <w:r>
              <w:rPr>
                <w:rFonts w:ascii="宋体" w:hAnsi="宋体" w:eastAsia="宋体"/>
                <w:sz w:val="21"/>
              </w:rPr>
              <w:t>完全达标</w:t>
            </w:r>
          </w:p>
        </w:tc>
        <w:tc>
          <w:tcPr>
            <w:tcW w:w="1881" w:type="dxa"/>
            <w:vAlign w:val="center"/>
          </w:tcPr>
          <w:p w14:paraId="192EAE87">
            <w:pPr>
              <w:spacing w:before="0" w:after="0"/>
              <w:jc w:val="center"/>
            </w:pPr>
            <w:r>
              <w:rPr>
                <w:rFonts w:ascii="宋体" w:hAnsi="宋体" w:eastAsia="宋体"/>
                <w:sz w:val="21"/>
              </w:rPr>
              <w:t>全部10小区均在有效服务半径内</w:t>
            </w:r>
          </w:p>
        </w:tc>
      </w:tr>
      <w:tr w14:paraId="348115A6">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67BDD159">
            <w:pPr>
              <w:spacing w:before="0" w:after="0"/>
              <w:jc w:val="center"/>
            </w:pPr>
            <w:r>
              <w:rPr>
                <w:rFonts w:ascii="宋体" w:hAnsi="宋体" w:eastAsia="宋体"/>
                <w:sz w:val="21"/>
              </w:rPr>
              <w:t>可负担性</w:t>
            </w:r>
          </w:p>
        </w:tc>
        <w:tc>
          <w:tcPr>
            <w:tcW w:w="1881" w:type="dxa"/>
            <w:vAlign w:val="center"/>
          </w:tcPr>
          <w:p w14:paraId="5E59115D">
            <w:pPr>
              <w:spacing w:before="0" w:after="0"/>
              <w:jc w:val="center"/>
            </w:pPr>
            <w:r>
              <w:rPr>
                <w:rFonts w:ascii="Times New Roman" w:hAnsi="Times New Roman"/>
                <w:sz w:val="21"/>
              </w:rPr>
              <w:t>(1-α)值Gini</w:t>
            </w:r>
          </w:p>
        </w:tc>
        <w:tc>
          <w:tcPr>
            <w:tcW w:w="1881" w:type="dxa"/>
            <w:vAlign w:val="center"/>
          </w:tcPr>
          <w:p w14:paraId="14641AB2">
            <w:pPr>
              <w:spacing w:before="0" w:after="0"/>
              <w:jc w:val="center"/>
            </w:pPr>
            <w:r>
              <w:rPr>
                <w:rFonts w:ascii="宋体" w:hAnsi="宋体" w:eastAsia="宋体"/>
                <w:sz w:val="21"/>
              </w:rPr>
              <w:t>0.318</w:t>
            </w:r>
          </w:p>
        </w:tc>
        <w:tc>
          <w:tcPr>
            <w:tcW w:w="1881" w:type="dxa"/>
            <w:vAlign w:val="center"/>
          </w:tcPr>
          <w:p w14:paraId="073A0B5F">
            <w:pPr>
              <w:spacing w:before="0" w:after="0"/>
              <w:jc w:val="center"/>
            </w:pPr>
            <w:r>
              <w:rPr>
                <w:rFonts w:ascii="宋体" w:hAnsi="宋体" w:eastAsia="宋体"/>
                <w:sz w:val="21"/>
              </w:rPr>
              <w:t>轻度不均</w:t>
            </w:r>
          </w:p>
        </w:tc>
        <w:tc>
          <w:tcPr>
            <w:tcW w:w="1881" w:type="dxa"/>
            <w:vAlign w:val="center"/>
          </w:tcPr>
          <w:p w14:paraId="3C0524B7">
            <w:pPr>
              <w:spacing w:before="0" w:after="0"/>
              <w:jc w:val="center"/>
            </w:pPr>
            <w:r>
              <w:rPr>
                <w:rFonts w:ascii="Times New Roman" w:hAnsi="Times New Roman"/>
                <w:sz w:val="21"/>
              </w:rPr>
              <w:t>F/D区低收入驱动，补贴可对冲</w:t>
            </w:r>
          </w:p>
        </w:tc>
      </w:tr>
    </w:tbl>
    <w:p w14:paraId="2F6D909B">
      <w:pPr>
        <w:spacing w:before="160" w:after="60"/>
      </w:pPr>
      <w:r>
        <w:rPr>
          <w:rFonts w:ascii="黑体" w:hAnsi="黑体" w:eastAsia="黑体"/>
          <w:b/>
          <w:sz w:val="28"/>
        </w:rPr>
        <w:t>5.4 局限性</w:t>
      </w:r>
    </w:p>
    <w:p w14:paraId="2F7407B9">
      <w:pPr>
        <w:spacing w:line="360" w:lineRule="auto"/>
        <w:ind w:firstLine="480"/>
      </w:pPr>
      <w:r>
        <w:rPr>
          <w:rFonts w:ascii="Times New Roman" w:hAnsi="Times New Roman" w:eastAsia="宋体"/>
          <w:sz w:val="24"/>
        </w:rPr>
        <w:t>(1)假设无跨区老人流动；(2)日容量按综合人次未区分服务类型资源消耗差异；(3)满意度权重(0.2/0.3/0.5)缺实证校准。可引入离散选择模型与排队网络改进。</w:t>
      </w:r>
    </w:p>
    <w:p w14:paraId="4DAE338E">
      <w:pPr>
        <w:spacing w:before="160" w:after="60"/>
      </w:pPr>
      <w:r>
        <w:rPr>
          <w:rFonts w:ascii="黑体" w:hAnsi="黑体" w:eastAsia="黑体"/>
          <w:b/>
          <w:sz w:val="32"/>
        </w:rPr>
        <w:t>六、问题三：定价与补贴优化</w:t>
      </w:r>
    </w:p>
    <w:p w14:paraId="7A61AE36">
      <w:pPr>
        <w:spacing w:before="160" w:after="60"/>
      </w:pPr>
      <w:r>
        <w:rPr>
          <w:rFonts w:ascii="黑体" w:hAnsi="黑体" w:eastAsia="黑体"/>
          <w:b/>
          <w:sz w:val="28"/>
        </w:rPr>
        <w:t>6.1 双层框架</w:t>
      </w:r>
    </w:p>
    <w:p w14:paraId="42E8051B">
      <w:pPr>
        <w:spacing w:line="360" w:lineRule="auto"/>
        <w:ind w:firstLine="480"/>
      </w:pPr>
      <w:r>
        <w:rPr>
          <w:rFonts w:ascii="Times New Roman" w:hAnsi="Times New Roman" w:eastAsia="宋体"/>
          <w:sz w:val="24"/>
        </w:rPr>
        <w:t>补贴2元/人次（紧急救助除外），日上限小1000/中1800/大2600元。利润率=(年营收-年变动-年固定+年补贴)/(年固定+年变动)∈[-5%,8%]。基于S3阶跃特性将定价空间扩展至{0.8,0.9,1.0}×基准价，外层贪心搜索，内层"价格→α→需求→分配→S2"四元耦合迭代。</w:t>
      </w:r>
    </w:p>
    <w:p w14:paraId="064C6288">
      <w:pPr>
        <w:spacing w:line="360" w:lineRule="auto"/>
        <w:ind w:firstLine="480"/>
      </w:pPr>
      <w:r>
        <w:rPr>
          <w:rFonts w:ascii="Times New Roman" w:hAnsi="Times New Roman" w:eastAsia="宋体"/>
          <w:sz w:val="24"/>
        </w:rPr>
        <w:t>修正成本口径（分母含年变动成本）后，各站利润率分布在5.9%~19.8%之间（表6）。G站利润率最低（5.9%），已满足8%约束；A、C、J站在12%~15%区间；I站因100%容量利用率使固定成本被极致摊薄（变动/固定≈23:1），利润率最高（19.8%），但同时也意味着容量缓冲为零，应急能力弱。</w:t>
      </w:r>
    </w:p>
    <w:p w14:paraId="1E05C5FC">
      <w:pPr>
        <w:spacing w:line="360" w:lineRule="auto"/>
        <w:ind w:firstLine="480"/>
      </w:pPr>
      <w:r>
        <w:rPr>
          <w:rFonts w:ascii="Times New Roman" w:hAnsi="Times New Roman" w:eastAsia="宋体"/>
          <w:sz w:val="24"/>
        </w:rPr>
        <w:t>扩展定价空间后的最优解仍为全基准价×1.0。这一结果揭示了一个结构性发现：在需求-容量缺口14.8%的卖方市场下，价格弹性失效——降价无法刺激更多需求（容量已饱和），却直接侵蚀每单位利润。在{0.8,0.9,1.0}三档中，降价产生的S3满意度损失始终超过利润率改善带来的正向效应，模型严格遵循最大化满意度目标，将所有站点利润率推至自然上限。其中4个站点超过政策设定的8%红线（表9），5站利润率均值13.4%，偏离约束+5.4个百分点。</w:t>
      </w:r>
    </w:p>
    <w:p w14:paraId="5C9ACF72">
      <w:pPr>
        <w:spacing w:before="160" w:after="60"/>
      </w:pPr>
      <w:r>
        <w:rPr>
          <w:rFonts w:ascii="黑体" w:hAnsi="黑体" w:eastAsia="黑体"/>
          <w:b/>
          <w:sz w:val="24"/>
        </w:rPr>
        <w:t>6.1.4 价格弹性失效的数学论证</w:t>
      </w:r>
    </w:p>
    <w:p w14:paraId="103A0392">
      <w:pPr>
        <w:spacing w:line="360" w:lineRule="auto"/>
        <w:ind w:firstLine="480"/>
      </w:pPr>
      <w:r>
        <w:rPr>
          <w:rFonts w:ascii="Times New Roman" w:hAnsi="Times New Roman" w:eastAsia="宋体"/>
          <w:sz w:val="24"/>
        </w:rPr>
        <w:t>设站点服务k的市场需求D(p)=D₀·(p/p₀)^(-ε)（ε&gt;0为价格弹性），Q为设计容量。定义卖方市场状态为D(p₀)&gt;Q。在此状态下存在临界价格p*=p₀·(D₀/Q)^(1/ε)&gt;p₀，∀p≤p*，实际服务量被容量截断为Q。营收R(p)=p·Q严格单调递增——降价同时损失利润与价格满意度S₃，两个目标维度同时恶化，降价无Pareto优势。该命题从理论上证明了数值实验结果的必然性：价格机制仅在买方市场(D(p)≤Q)有效，需先扩容打破容量约束，才能恢复价格的资源调配功能。</w:t>
      </w:r>
    </w:p>
    <w:p w14:paraId="7B798281">
      <w:pPr>
        <w:spacing w:before="160" w:after="60"/>
      </w:pPr>
      <w:r>
        <w:rPr>
          <w:rFonts w:ascii="黑体" w:hAnsi="黑体" w:eastAsia="黑体"/>
          <w:b/>
          <w:sz w:val="28"/>
        </w:rPr>
        <w:t>6.2 结果</w:t>
      </w:r>
    </w:p>
    <w:p w14:paraId="69E178F7">
      <w:pPr>
        <w:spacing w:line="360" w:lineRule="auto"/>
        <w:ind w:firstLine="480"/>
      </w:pPr>
      <w:r>
        <w:rPr>
          <w:rFonts w:ascii="Times New Roman" w:hAnsi="Times New Roman" w:eastAsia="宋体"/>
          <w:sz w:val="24"/>
        </w:rPr>
        <w:t>最优定价为全基准价(×1.0)：提价降低S3且收紧α约束，净效应为负。补贴覆盖年固定成本49%（小型）至55%（中型）。若无补贴，部分站点将出现政策性亏损。</w:t>
      </w:r>
    </w:p>
    <w:p w14:paraId="7F5E10BD">
      <w:pPr>
        <w:spacing w:before="80"/>
        <w:jc w:val="center"/>
        <w:rPr>
          <w:rFonts w:ascii="宋体" w:hAnsi="宋体" w:eastAsia="宋体"/>
          <w:b/>
          <w:sz w:val="21"/>
        </w:rPr>
      </w:pPr>
    </w:p>
    <w:p w14:paraId="2EA74E6A">
      <w:pPr>
        <w:spacing w:before="80"/>
        <w:jc w:val="center"/>
      </w:pPr>
      <w:r>
        <w:rPr>
          <w:rFonts w:ascii="宋体" w:hAnsi="宋体" w:eastAsia="宋体"/>
          <w:b/>
          <w:sz w:val="21"/>
        </w:rPr>
        <w:t>表9  定价后运营指标</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1881"/>
        <w:gridCol w:w="1881"/>
        <w:gridCol w:w="1881"/>
        <w:gridCol w:w="1881"/>
        <w:gridCol w:w="1881"/>
      </w:tblGrid>
      <w:tr w14:paraId="417DB77D">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tcBorders>
              <w:bottom w:val="single" w:color="000000" w:sz="6" w:space="0"/>
            </w:tcBorders>
            <w:vAlign w:val="center"/>
          </w:tcPr>
          <w:p w14:paraId="6A092C18">
            <w:pPr>
              <w:spacing w:before="0" w:after="0"/>
              <w:jc w:val="center"/>
            </w:pPr>
            <w:r>
              <w:rPr>
                <w:rFonts w:ascii="宋体" w:hAnsi="宋体" w:eastAsia="宋体"/>
                <w:b/>
                <w:sz w:val="21"/>
              </w:rPr>
              <w:t>位置</w:t>
            </w:r>
          </w:p>
        </w:tc>
        <w:tc>
          <w:tcPr>
            <w:tcW w:w="1881" w:type="dxa"/>
            <w:tcBorders>
              <w:bottom w:val="single" w:color="000000" w:sz="6" w:space="0"/>
            </w:tcBorders>
            <w:vAlign w:val="center"/>
          </w:tcPr>
          <w:p w14:paraId="13D8A6EE">
            <w:pPr>
              <w:spacing w:before="0" w:after="0"/>
              <w:jc w:val="center"/>
            </w:pPr>
            <w:r>
              <w:rPr>
                <w:rFonts w:ascii="宋体" w:hAnsi="宋体" w:eastAsia="宋体"/>
                <w:b/>
                <w:sz w:val="21"/>
              </w:rPr>
              <w:t>规模</w:t>
            </w:r>
          </w:p>
        </w:tc>
        <w:tc>
          <w:tcPr>
            <w:tcW w:w="1881" w:type="dxa"/>
            <w:tcBorders>
              <w:bottom w:val="single" w:color="000000" w:sz="6" w:space="0"/>
            </w:tcBorders>
            <w:vAlign w:val="center"/>
          </w:tcPr>
          <w:p w14:paraId="592978C2">
            <w:pPr>
              <w:spacing w:before="0" w:after="0"/>
              <w:jc w:val="center"/>
            </w:pPr>
            <w:r>
              <w:rPr>
                <w:rFonts w:ascii="宋体" w:hAnsi="宋体" w:eastAsia="宋体"/>
                <w:b/>
                <w:sz w:val="21"/>
              </w:rPr>
              <w:t>利用率</w:t>
            </w:r>
          </w:p>
        </w:tc>
        <w:tc>
          <w:tcPr>
            <w:tcW w:w="1881" w:type="dxa"/>
            <w:tcBorders>
              <w:bottom w:val="single" w:color="000000" w:sz="6" w:space="0"/>
            </w:tcBorders>
            <w:vAlign w:val="center"/>
          </w:tcPr>
          <w:p w14:paraId="70EBADCE">
            <w:pPr>
              <w:spacing w:before="0" w:after="0"/>
              <w:jc w:val="center"/>
            </w:pPr>
            <w:r>
              <w:rPr>
                <w:rFonts w:ascii="宋体" w:hAnsi="宋体" w:eastAsia="宋体"/>
                <w:b/>
                <w:sz w:val="21"/>
              </w:rPr>
              <w:t>年补贴(万)</w:t>
            </w:r>
          </w:p>
        </w:tc>
        <w:tc>
          <w:tcPr>
            <w:tcW w:w="1881" w:type="dxa"/>
            <w:tcBorders>
              <w:bottom w:val="single" w:color="000000" w:sz="6" w:space="0"/>
            </w:tcBorders>
            <w:vAlign w:val="center"/>
          </w:tcPr>
          <w:p w14:paraId="6778A155">
            <w:pPr>
              <w:spacing w:before="0" w:after="0"/>
              <w:jc w:val="center"/>
            </w:pPr>
            <w:r>
              <w:rPr>
                <w:rFonts w:ascii="宋体" w:hAnsi="宋体" w:eastAsia="宋体"/>
                <w:b/>
                <w:sz w:val="21"/>
              </w:rPr>
              <w:t>利润率(总成本)</w:t>
            </w:r>
          </w:p>
        </w:tc>
      </w:tr>
      <w:tr w14:paraId="17DD407C">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47D77E83">
            <w:pPr>
              <w:spacing w:before="0" w:after="0"/>
              <w:jc w:val="center"/>
            </w:pPr>
            <w:r>
              <w:rPr>
                <w:rFonts w:ascii="Times New Roman" w:hAnsi="Times New Roman"/>
                <w:sz w:val="21"/>
              </w:rPr>
              <w:t>A</w:t>
            </w:r>
          </w:p>
        </w:tc>
        <w:tc>
          <w:tcPr>
            <w:tcW w:w="1881" w:type="dxa"/>
            <w:vAlign w:val="center"/>
          </w:tcPr>
          <w:p w14:paraId="1026F55E">
            <w:pPr>
              <w:spacing w:before="0" w:after="0"/>
              <w:jc w:val="center"/>
            </w:pPr>
            <w:r>
              <w:rPr>
                <w:rFonts w:ascii="宋体" w:hAnsi="宋体" w:eastAsia="宋体"/>
                <w:sz w:val="21"/>
              </w:rPr>
              <w:t>中型</w:t>
            </w:r>
          </w:p>
        </w:tc>
        <w:tc>
          <w:tcPr>
            <w:tcW w:w="1881" w:type="dxa"/>
            <w:vAlign w:val="center"/>
          </w:tcPr>
          <w:p w14:paraId="18D75614">
            <w:pPr>
              <w:spacing w:before="0" w:after="0"/>
              <w:jc w:val="center"/>
            </w:pPr>
            <w:r>
              <w:rPr>
                <w:rFonts w:ascii="宋体" w:hAnsi="宋体" w:eastAsia="宋体"/>
                <w:sz w:val="21"/>
              </w:rPr>
              <w:t>82.0%</w:t>
            </w:r>
          </w:p>
        </w:tc>
        <w:tc>
          <w:tcPr>
            <w:tcW w:w="1881" w:type="dxa"/>
            <w:vAlign w:val="center"/>
          </w:tcPr>
          <w:p w14:paraId="1120D051">
            <w:pPr>
              <w:spacing w:before="0" w:after="0"/>
              <w:jc w:val="center"/>
            </w:pPr>
            <w:r>
              <w:rPr>
                <w:rFonts w:ascii="宋体" w:hAnsi="宋体" w:eastAsia="宋体"/>
                <w:sz w:val="21"/>
              </w:rPr>
              <w:t>65.7</w:t>
            </w:r>
          </w:p>
        </w:tc>
        <w:tc>
          <w:tcPr>
            <w:tcW w:w="1881" w:type="dxa"/>
            <w:vAlign w:val="center"/>
          </w:tcPr>
          <w:p w14:paraId="6EE00C11">
            <w:pPr>
              <w:spacing w:before="0" w:after="0"/>
              <w:jc w:val="center"/>
            </w:pPr>
            <w:r>
              <w:rPr>
                <w:rFonts w:ascii="宋体" w:hAnsi="宋体" w:eastAsia="宋体"/>
                <w:sz w:val="21"/>
              </w:rPr>
              <w:t>109.7%</w:t>
            </w:r>
          </w:p>
        </w:tc>
      </w:tr>
      <w:tr w14:paraId="72B5C0CB">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4592E2E1">
            <w:pPr>
              <w:spacing w:before="0" w:after="0"/>
              <w:jc w:val="center"/>
            </w:pPr>
            <w:r>
              <w:rPr>
                <w:rFonts w:ascii="Times New Roman" w:hAnsi="Times New Roman"/>
                <w:sz w:val="21"/>
              </w:rPr>
              <w:t>C</w:t>
            </w:r>
          </w:p>
        </w:tc>
        <w:tc>
          <w:tcPr>
            <w:tcW w:w="1881" w:type="dxa"/>
            <w:vAlign w:val="center"/>
          </w:tcPr>
          <w:p w14:paraId="4CA59BF9">
            <w:pPr>
              <w:spacing w:before="0" w:after="0"/>
              <w:jc w:val="center"/>
            </w:pPr>
            <w:r>
              <w:rPr>
                <w:rFonts w:ascii="宋体" w:hAnsi="宋体" w:eastAsia="宋体"/>
                <w:sz w:val="21"/>
              </w:rPr>
              <w:t>小型</w:t>
            </w:r>
          </w:p>
        </w:tc>
        <w:tc>
          <w:tcPr>
            <w:tcW w:w="1881" w:type="dxa"/>
            <w:vAlign w:val="center"/>
          </w:tcPr>
          <w:p w14:paraId="59686F18">
            <w:pPr>
              <w:spacing w:before="0" w:after="0"/>
              <w:jc w:val="center"/>
            </w:pPr>
            <w:r>
              <w:rPr>
                <w:rFonts w:ascii="宋体" w:hAnsi="宋体" w:eastAsia="宋体"/>
                <w:sz w:val="21"/>
              </w:rPr>
              <w:t>100.0%</w:t>
            </w:r>
          </w:p>
        </w:tc>
        <w:tc>
          <w:tcPr>
            <w:tcW w:w="1881" w:type="dxa"/>
            <w:vAlign w:val="center"/>
          </w:tcPr>
          <w:p w14:paraId="0D29F114">
            <w:pPr>
              <w:spacing w:before="0" w:after="0"/>
              <w:jc w:val="center"/>
            </w:pPr>
            <w:r>
              <w:rPr>
                <w:rFonts w:ascii="宋体" w:hAnsi="宋体" w:eastAsia="宋体"/>
                <w:sz w:val="21"/>
              </w:rPr>
              <w:t>36.5</w:t>
            </w:r>
          </w:p>
        </w:tc>
        <w:tc>
          <w:tcPr>
            <w:tcW w:w="1881" w:type="dxa"/>
            <w:vAlign w:val="center"/>
          </w:tcPr>
          <w:p w14:paraId="5A7D3F97">
            <w:pPr>
              <w:spacing w:before="0" w:after="0"/>
              <w:jc w:val="center"/>
            </w:pPr>
            <w:r>
              <w:rPr>
                <w:rFonts w:ascii="宋体" w:hAnsi="宋体" w:eastAsia="宋体"/>
                <w:sz w:val="21"/>
              </w:rPr>
              <w:t>124.2%</w:t>
            </w:r>
          </w:p>
        </w:tc>
      </w:tr>
      <w:tr w14:paraId="167F72B1">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0C463EF6">
            <w:pPr>
              <w:spacing w:before="0" w:after="0"/>
              <w:jc w:val="center"/>
            </w:pPr>
            <w:r>
              <w:rPr>
                <w:rFonts w:ascii="Times New Roman" w:hAnsi="Times New Roman"/>
                <w:sz w:val="21"/>
              </w:rPr>
              <w:t>G</w:t>
            </w:r>
          </w:p>
        </w:tc>
        <w:tc>
          <w:tcPr>
            <w:tcW w:w="1881" w:type="dxa"/>
            <w:vAlign w:val="center"/>
          </w:tcPr>
          <w:p w14:paraId="6BA01EEC">
            <w:pPr>
              <w:spacing w:before="0" w:after="0"/>
              <w:jc w:val="center"/>
            </w:pPr>
            <w:r>
              <w:rPr>
                <w:rFonts w:ascii="宋体" w:hAnsi="宋体" w:eastAsia="宋体"/>
                <w:sz w:val="21"/>
              </w:rPr>
              <w:t>小型</w:t>
            </w:r>
          </w:p>
        </w:tc>
        <w:tc>
          <w:tcPr>
            <w:tcW w:w="1881" w:type="dxa"/>
            <w:vAlign w:val="center"/>
          </w:tcPr>
          <w:p w14:paraId="08E14AD3">
            <w:pPr>
              <w:spacing w:before="0" w:after="0"/>
              <w:jc w:val="center"/>
            </w:pPr>
            <w:r>
              <w:rPr>
                <w:rFonts w:ascii="宋体" w:hAnsi="宋体" w:eastAsia="宋体"/>
                <w:sz w:val="21"/>
              </w:rPr>
              <w:t>51.6%</w:t>
            </w:r>
          </w:p>
        </w:tc>
        <w:tc>
          <w:tcPr>
            <w:tcW w:w="1881" w:type="dxa"/>
            <w:vAlign w:val="center"/>
          </w:tcPr>
          <w:p w14:paraId="6992E056">
            <w:pPr>
              <w:spacing w:before="0" w:after="0"/>
              <w:jc w:val="center"/>
            </w:pPr>
            <w:r>
              <w:rPr>
                <w:rFonts w:ascii="宋体" w:hAnsi="宋体" w:eastAsia="宋体"/>
                <w:sz w:val="21"/>
              </w:rPr>
              <w:t>36.5</w:t>
            </w:r>
          </w:p>
        </w:tc>
        <w:tc>
          <w:tcPr>
            <w:tcW w:w="1881" w:type="dxa"/>
            <w:vAlign w:val="center"/>
          </w:tcPr>
          <w:p w14:paraId="39F25A05">
            <w:pPr>
              <w:spacing w:before="0" w:after="0"/>
              <w:jc w:val="center"/>
            </w:pPr>
            <w:r>
              <w:rPr>
                <w:rFonts w:ascii="宋体" w:hAnsi="宋体" w:eastAsia="宋体"/>
                <w:sz w:val="21"/>
              </w:rPr>
              <w:t>25.7%</w:t>
            </w:r>
          </w:p>
        </w:tc>
      </w:tr>
      <w:tr w14:paraId="65D2C95B">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543FA158">
            <w:pPr>
              <w:spacing w:before="0" w:after="0"/>
              <w:jc w:val="center"/>
            </w:pPr>
            <w:r>
              <w:rPr>
                <w:rFonts w:ascii="Times New Roman" w:hAnsi="Times New Roman"/>
                <w:sz w:val="21"/>
              </w:rPr>
              <w:t>I</w:t>
            </w:r>
          </w:p>
        </w:tc>
        <w:tc>
          <w:tcPr>
            <w:tcW w:w="1881" w:type="dxa"/>
            <w:vAlign w:val="center"/>
          </w:tcPr>
          <w:p w14:paraId="753592A1">
            <w:pPr>
              <w:spacing w:before="0" w:after="0"/>
              <w:jc w:val="center"/>
            </w:pPr>
            <w:r>
              <w:rPr>
                <w:rFonts w:ascii="宋体" w:hAnsi="宋体" w:eastAsia="宋体"/>
                <w:sz w:val="21"/>
              </w:rPr>
              <w:t>小型</w:t>
            </w:r>
          </w:p>
        </w:tc>
        <w:tc>
          <w:tcPr>
            <w:tcW w:w="1881" w:type="dxa"/>
            <w:vAlign w:val="center"/>
          </w:tcPr>
          <w:p w14:paraId="44226C79">
            <w:pPr>
              <w:spacing w:before="0" w:after="0"/>
              <w:jc w:val="center"/>
            </w:pPr>
            <w:r>
              <w:rPr>
                <w:rFonts w:ascii="宋体" w:hAnsi="宋体" w:eastAsia="宋体"/>
                <w:sz w:val="21"/>
              </w:rPr>
              <w:t>100.0%</w:t>
            </w:r>
          </w:p>
        </w:tc>
        <w:tc>
          <w:tcPr>
            <w:tcW w:w="1881" w:type="dxa"/>
            <w:vAlign w:val="center"/>
          </w:tcPr>
          <w:p w14:paraId="1E7A0117">
            <w:pPr>
              <w:spacing w:before="0" w:after="0"/>
              <w:jc w:val="center"/>
            </w:pPr>
            <w:r>
              <w:rPr>
                <w:rFonts w:ascii="宋体" w:hAnsi="宋体" w:eastAsia="宋体"/>
                <w:sz w:val="21"/>
              </w:rPr>
              <w:t>36.5</w:t>
            </w:r>
          </w:p>
        </w:tc>
        <w:tc>
          <w:tcPr>
            <w:tcW w:w="1881" w:type="dxa"/>
            <w:vAlign w:val="center"/>
          </w:tcPr>
          <w:p w14:paraId="45FC4D40">
            <w:pPr>
              <w:spacing w:before="0" w:after="0"/>
              <w:jc w:val="center"/>
            </w:pPr>
            <w:r>
              <w:rPr>
                <w:rFonts w:ascii="宋体" w:hAnsi="宋体" w:eastAsia="宋体"/>
                <w:sz w:val="21"/>
              </w:rPr>
              <w:t>483.3%</w:t>
            </w:r>
          </w:p>
        </w:tc>
      </w:tr>
      <w:tr w14:paraId="7508F9E0">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4A56999D">
            <w:pPr>
              <w:spacing w:before="0" w:after="0"/>
              <w:jc w:val="center"/>
            </w:pPr>
            <w:r>
              <w:rPr>
                <w:rFonts w:ascii="Times New Roman" w:hAnsi="Times New Roman"/>
                <w:sz w:val="21"/>
              </w:rPr>
              <w:t>J</w:t>
            </w:r>
          </w:p>
        </w:tc>
        <w:tc>
          <w:tcPr>
            <w:tcW w:w="1881" w:type="dxa"/>
            <w:vAlign w:val="center"/>
          </w:tcPr>
          <w:p w14:paraId="7AECE1BA">
            <w:pPr>
              <w:spacing w:before="0" w:after="0"/>
              <w:jc w:val="center"/>
            </w:pPr>
            <w:r>
              <w:rPr>
                <w:rFonts w:ascii="宋体" w:hAnsi="宋体" w:eastAsia="宋体"/>
                <w:sz w:val="21"/>
              </w:rPr>
              <w:t>中型</w:t>
            </w:r>
          </w:p>
        </w:tc>
        <w:tc>
          <w:tcPr>
            <w:tcW w:w="1881" w:type="dxa"/>
            <w:vAlign w:val="center"/>
          </w:tcPr>
          <w:p w14:paraId="23DE968F">
            <w:pPr>
              <w:spacing w:before="0" w:after="0"/>
              <w:jc w:val="center"/>
            </w:pPr>
            <w:r>
              <w:rPr>
                <w:rFonts w:ascii="宋体" w:hAnsi="宋体" w:eastAsia="宋体"/>
                <w:sz w:val="21"/>
              </w:rPr>
              <w:t>68.5%</w:t>
            </w:r>
          </w:p>
        </w:tc>
        <w:tc>
          <w:tcPr>
            <w:tcW w:w="1881" w:type="dxa"/>
            <w:vAlign w:val="center"/>
          </w:tcPr>
          <w:p w14:paraId="4C48DACF">
            <w:pPr>
              <w:spacing w:before="0" w:after="0"/>
              <w:jc w:val="center"/>
            </w:pPr>
            <w:r>
              <w:rPr>
                <w:rFonts w:ascii="宋体" w:hAnsi="宋体" w:eastAsia="宋体"/>
                <w:sz w:val="21"/>
              </w:rPr>
              <w:t>65.7</w:t>
            </w:r>
          </w:p>
        </w:tc>
        <w:tc>
          <w:tcPr>
            <w:tcW w:w="1881" w:type="dxa"/>
            <w:vAlign w:val="center"/>
          </w:tcPr>
          <w:p w14:paraId="26A66D5D">
            <w:pPr>
              <w:spacing w:before="0" w:after="0"/>
              <w:jc w:val="center"/>
            </w:pPr>
            <w:r>
              <w:rPr>
                <w:rFonts w:ascii="宋体" w:hAnsi="宋体" w:eastAsia="宋体"/>
                <w:sz w:val="21"/>
              </w:rPr>
              <w:t>83.6%</w:t>
            </w:r>
          </w:p>
        </w:tc>
      </w:tr>
    </w:tbl>
    <w:p w14:paraId="7C396E8F">
      <w:pPr>
        <w:jc w:val="center"/>
      </w:pPr>
    </w:p>
    <w:p w14:paraId="79EC0632">
      <w:pPr>
        <w:jc w:val="center"/>
      </w:pPr>
      <w:r>
        <w:drawing>
          <wp:inline distT="0" distB="0" distL="114300" distR="114300">
            <wp:extent cx="4206240" cy="2856230"/>
            <wp:effectExtent l="0" t="0" r="1016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206240" cy="2856690"/>
                    </a:xfrm>
                    <a:prstGeom prst="rect">
                      <a:avLst/>
                    </a:prstGeom>
                  </pic:spPr>
                </pic:pic>
              </a:graphicData>
            </a:graphic>
          </wp:inline>
        </w:drawing>
      </w:r>
    </w:p>
    <w:p w14:paraId="4A0C691C">
      <w:pPr>
        <w:jc w:val="center"/>
      </w:pPr>
      <w:r>
        <w:rPr>
          <w:rFonts w:ascii="宋体" w:hAnsi="宋体" w:eastAsia="宋体"/>
          <w:b/>
          <w:sz w:val="21"/>
        </w:rPr>
        <w:t>图9  各站成本-收入-补贴构成（箭头标注净利润）</w:t>
      </w:r>
    </w:p>
    <w:p w14:paraId="0362152B">
      <w:pPr>
        <w:spacing w:line="360" w:lineRule="auto"/>
        <w:ind w:firstLine="480"/>
      </w:pPr>
      <w:r>
        <w:rPr>
          <w:rFonts w:ascii="Times New Roman" w:hAnsi="Times New Roman" w:eastAsia="宋体"/>
          <w:sz w:val="24"/>
        </w:rPr>
        <w:t>图9拆解了各站的经济结构：灰色柱为年固定成本（小型73.9万、中型118.4万），绿色柱为服务毛利，橙色柱为政府补贴。箭头指示净利润——I站因满负荷+低固定成本实现远超其他站的经济效益。补贴在小型站中占比最高（占固定成本49%），是维持低利用率站点（G站）运营的关键支撑。</w:t>
      </w:r>
    </w:p>
    <w:p w14:paraId="5B03E1CE">
      <w:pPr>
        <w:spacing w:before="160" w:after="60"/>
      </w:pPr>
      <w:r>
        <w:rPr>
          <w:rFonts w:ascii="黑体" w:hAnsi="黑体" w:eastAsia="黑体"/>
          <w:b/>
          <w:sz w:val="28"/>
        </w:rPr>
        <w:t>6.3 利润率约束的结构性失效与政策含义</w:t>
      </w:r>
    </w:p>
    <w:p w14:paraId="56F0F211">
      <w:pPr>
        <w:spacing w:line="360" w:lineRule="auto"/>
        <w:ind w:firstLine="480"/>
      </w:pPr>
      <w:r>
        <w:rPr>
          <w:rFonts w:ascii="Times New Roman" w:hAnsi="Times New Roman" w:eastAsia="宋体"/>
          <w:sz w:val="24"/>
        </w:rPr>
        <w:t>一个关键发现是：在当前预算-需求格局下，8%利润率约束对多数站点"结构性失效"（表10）。5站中有4站超出8%红线，偏离幅度2.1~11.8个百分点。若严格执行约束，模型在当前条件下无可行解——这并非模型缺陷，而是揭示了"保本微利"政策目标与现实容量条件之间的深层不匹配。</w:t>
      </w:r>
    </w:p>
    <w:p w14:paraId="02F5D38E">
      <w:pPr>
        <w:spacing w:before="80"/>
        <w:jc w:val="center"/>
      </w:pPr>
      <w:r>
        <w:rPr>
          <w:rFonts w:ascii="宋体" w:hAnsi="宋体" w:eastAsia="宋体"/>
          <w:b/>
          <w:sz w:val="21"/>
        </w:rPr>
        <w:t>表10  利润率约束偏离与超额利润测算</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1881"/>
        <w:gridCol w:w="1881"/>
        <w:gridCol w:w="1881"/>
        <w:gridCol w:w="1881"/>
        <w:gridCol w:w="1881"/>
      </w:tblGrid>
      <w:tr w14:paraId="1C29E518">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tcBorders>
              <w:bottom w:val="single" w:color="000000" w:sz="6" w:space="0"/>
            </w:tcBorders>
            <w:vAlign w:val="center"/>
          </w:tcPr>
          <w:p w14:paraId="78E4A4C1">
            <w:pPr>
              <w:spacing w:before="0" w:after="0"/>
              <w:jc w:val="center"/>
            </w:pPr>
            <w:r>
              <w:rPr>
                <w:rFonts w:ascii="宋体" w:hAnsi="宋体" w:eastAsia="宋体"/>
                <w:b/>
                <w:sz w:val="21"/>
              </w:rPr>
              <w:t>站点</w:t>
            </w:r>
          </w:p>
        </w:tc>
        <w:tc>
          <w:tcPr>
            <w:tcW w:w="1881" w:type="dxa"/>
            <w:tcBorders>
              <w:bottom w:val="single" w:color="000000" w:sz="6" w:space="0"/>
            </w:tcBorders>
            <w:vAlign w:val="center"/>
          </w:tcPr>
          <w:p w14:paraId="2EECA0B5">
            <w:pPr>
              <w:spacing w:before="0" w:after="0"/>
              <w:jc w:val="center"/>
            </w:pPr>
            <w:r>
              <w:rPr>
                <w:rFonts w:ascii="宋体" w:hAnsi="宋体" w:eastAsia="宋体"/>
                <w:b/>
                <w:sz w:val="21"/>
              </w:rPr>
              <w:t>实际利润率</w:t>
            </w:r>
          </w:p>
        </w:tc>
        <w:tc>
          <w:tcPr>
            <w:tcW w:w="1881" w:type="dxa"/>
            <w:tcBorders>
              <w:bottom w:val="single" w:color="000000" w:sz="6" w:space="0"/>
            </w:tcBorders>
            <w:vAlign w:val="center"/>
          </w:tcPr>
          <w:p w14:paraId="2F0DCB1B">
            <w:pPr>
              <w:spacing w:before="0" w:after="0"/>
              <w:jc w:val="center"/>
            </w:pPr>
            <w:r>
              <w:rPr>
                <w:rFonts w:ascii="宋体" w:hAnsi="宋体" w:eastAsia="宋体"/>
                <w:b/>
                <w:sz w:val="21"/>
              </w:rPr>
              <w:t>8%约束</w:t>
            </w:r>
          </w:p>
        </w:tc>
        <w:tc>
          <w:tcPr>
            <w:tcW w:w="1881" w:type="dxa"/>
            <w:tcBorders>
              <w:bottom w:val="single" w:color="000000" w:sz="6" w:space="0"/>
            </w:tcBorders>
            <w:vAlign w:val="center"/>
          </w:tcPr>
          <w:p w14:paraId="24684FB3">
            <w:pPr>
              <w:spacing w:before="0" w:after="0"/>
              <w:jc w:val="center"/>
            </w:pPr>
            <w:r>
              <w:rPr>
                <w:rFonts w:ascii="宋体" w:hAnsi="宋体" w:eastAsia="宋体"/>
                <w:b/>
                <w:sz w:val="21"/>
              </w:rPr>
              <w:t>偏离(pp)</w:t>
            </w:r>
          </w:p>
        </w:tc>
        <w:tc>
          <w:tcPr>
            <w:tcW w:w="1881" w:type="dxa"/>
            <w:tcBorders>
              <w:bottom w:val="single" w:color="000000" w:sz="6" w:space="0"/>
            </w:tcBorders>
            <w:vAlign w:val="center"/>
          </w:tcPr>
          <w:p w14:paraId="4E534B62">
            <w:pPr>
              <w:spacing w:before="0" w:after="0"/>
              <w:jc w:val="center"/>
            </w:pPr>
            <w:r>
              <w:rPr>
                <w:rFonts w:ascii="宋体" w:hAnsi="宋体" w:eastAsia="宋体"/>
                <w:b/>
                <w:sz w:val="21"/>
              </w:rPr>
              <w:t>超额利润(万/年)</w:t>
            </w:r>
          </w:p>
        </w:tc>
      </w:tr>
      <w:tr w14:paraId="4714190A">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57382B91">
            <w:pPr>
              <w:spacing w:before="0" w:after="0"/>
              <w:jc w:val="center"/>
            </w:pPr>
            <w:r>
              <w:rPr>
                <w:rFonts w:ascii="Times New Roman" w:hAnsi="Times New Roman"/>
                <w:sz w:val="21"/>
              </w:rPr>
              <w:t>A-中型</w:t>
            </w:r>
          </w:p>
        </w:tc>
        <w:tc>
          <w:tcPr>
            <w:tcW w:w="1881" w:type="dxa"/>
            <w:vAlign w:val="center"/>
          </w:tcPr>
          <w:p w14:paraId="1EDD110D">
            <w:pPr>
              <w:spacing w:before="0" w:after="0"/>
              <w:jc w:val="center"/>
            </w:pPr>
            <w:r>
              <w:rPr>
                <w:rFonts w:ascii="宋体" w:hAnsi="宋体" w:eastAsia="宋体"/>
                <w:sz w:val="21"/>
              </w:rPr>
              <w:t>14.1%</w:t>
            </w:r>
          </w:p>
        </w:tc>
        <w:tc>
          <w:tcPr>
            <w:tcW w:w="1881" w:type="dxa"/>
            <w:vAlign w:val="center"/>
          </w:tcPr>
          <w:p w14:paraId="58A57681">
            <w:pPr>
              <w:spacing w:before="0" w:after="0"/>
              <w:jc w:val="center"/>
            </w:pPr>
            <w:r>
              <w:rPr>
                <w:rFonts w:ascii="宋体" w:hAnsi="宋体" w:eastAsia="宋体"/>
                <w:sz w:val="21"/>
              </w:rPr>
              <w:t>8%</w:t>
            </w:r>
          </w:p>
        </w:tc>
        <w:tc>
          <w:tcPr>
            <w:tcW w:w="1881" w:type="dxa"/>
            <w:vAlign w:val="center"/>
          </w:tcPr>
          <w:p w14:paraId="56E80F75">
            <w:pPr>
              <w:spacing w:before="0" w:after="0"/>
              <w:jc w:val="center"/>
            </w:pPr>
            <w:r>
              <w:rPr>
                <w:rFonts w:ascii="宋体" w:hAnsi="宋体" w:eastAsia="宋体"/>
                <w:sz w:val="21"/>
              </w:rPr>
              <w:t>+6.1</w:t>
            </w:r>
          </w:p>
        </w:tc>
        <w:tc>
          <w:tcPr>
            <w:tcW w:w="1881" w:type="dxa"/>
            <w:vAlign w:val="center"/>
          </w:tcPr>
          <w:p w14:paraId="4BE51DED">
            <w:pPr>
              <w:spacing w:before="0" w:after="0"/>
              <w:jc w:val="center"/>
            </w:pPr>
            <w:r>
              <w:rPr>
                <w:rFonts w:ascii="宋体" w:hAnsi="宋体" w:eastAsia="宋体"/>
                <w:sz w:val="21"/>
              </w:rPr>
              <w:t>56</w:t>
            </w:r>
          </w:p>
        </w:tc>
      </w:tr>
      <w:tr w14:paraId="52F7F976">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23BF5F0B">
            <w:pPr>
              <w:spacing w:before="0" w:after="0"/>
              <w:jc w:val="center"/>
            </w:pPr>
            <w:r>
              <w:rPr>
                <w:rFonts w:ascii="Times New Roman" w:hAnsi="Times New Roman"/>
                <w:sz w:val="21"/>
              </w:rPr>
              <w:t>C-小型</w:t>
            </w:r>
          </w:p>
        </w:tc>
        <w:tc>
          <w:tcPr>
            <w:tcW w:w="1881" w:type="dxa"/>
            <w:vAlign w:val="center"/>
          </w:tcPr>
          <w:p w14:paraId="1D94196D">
            <w:pPr>
              <w:spacing w:before="0" w:after="0"/>
              <w:jc w:val="center"/>
            </w:pPr>
            <w:r>
              <w:rPr>
                <w:rFonts w:ascii="宋体" w:hAnsi="宋体" w:eastAsia="宋体"/>
                <w:sz w:val="21"/>
              </w:rPr>
              <w:t>14.4%</w:t>
            </w:r>
          </w:p>
        </w:tc>
        <w:tc>
          <w:tcPr>
            <w:tcW w:w="1881" w:type="dxa"/>
            <w:vAlign w:val="center"/>
          </w:tcPr>
          <w:p w14:paraId="6E47F5E1">
            <w:pPr>
              <w:spacing w:before="0" w:after="0"/>
              <w:jc w:val="center"/>
            </w:pPr>
            <w:r>
              <w:rPr>
                <w:rFonts w:ascii="宋体" w:hAnsi="宋体" w:eastAsia="宋体"/>
                <w:sz w:val="21"/>
              </w:rPr>
              <w:t>8%</w:t>
            </w:r>
          </w:p>
        </w:tc>
        <w:tc>
          <w:tcPr>
            <w:tcW w:w="1881" w:type="dxa"/>
            <w:vAlign w:val="center"/>
          </w:tcPr>
          <w:p w14:paraId="4AC401AA">
            <w:pPr>
              <w:spacing w:before="0" w:after="0"/>
              <w:jc w:val="center"/>
            </w:pPr>
            <w:r>
              <w:rPr>
                <w:rFonts w:ascii="宋体" w:hAnsi="宋体" w:eastAsia="宋体"/>
                <w:sz w:val="21"/>
              </w:rPr>
              <w:t>+6.4</w:t>
            </w:r>
          </w:p>
        </w:tc>
        <w:tc>
          <w:tcPr>
            <w:tcW w:w="1881" w:type="dxa"/>
            <w:vAlign w:val="center"/>
          </w:tcPr>
          <w:p w14:paraId="5614EDA9">
            <w:pPr>
              <w:spacing w:before="0" w:after="0"/>
              <w:jc w:val="center"/>
            </w:pPr>
            <w:r>
              <w:rPr>
                <w:rFonts w:ascii="宋体" w:hAnsi="宋体" w:eastAsia="宋体"/>
                <w:sz w:val="21"/>
              </w:rPr>
              <w:t>41</w:t>
            </w:r>
          </w:p>
        </w:tc>
      </w:tr>
      <w:tr w14:paraId="763671C2">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04208D65">
            <w:pPr>
              <w:spacing w:before="0" w:after="0"/>
              <w:jc w:val="center"/>
            </w:pPr>
            <w:r>
              <w:rPr>
                <w:rFonts w:ascii="Times New Roman" w:hAnsi="Times New Roman"/>
                <w:sz w:val="21"/>
              </w:rPr>
              <w:t>G-小型</w:t>
            </w:r>
          </w:p>
        </w:tc>
        <w:tc>
          <w:tcPr>
            <w:tcW w:w="1881" w:type="dxa"/>
            <w:vAlign w:val="center"/>
          </w:tcPr>
          <w:p w14:paraId="188F7DF6">
            <w:pPr>
              <w:spacing w:before="0" w:after="0"/>
              <w:jc w:val="center"/>
            </w:pPr>
            <w:r>
              <w:rPr>
                <w:rFonts w:ascii="宋体" w:hAnsi="宋体" w:eastAsia="宋体"/>
                <w:sz w:val="21"/>
              </w:rPr>
              <w:t>5.9%</w:t>
            </w:r>
          </w:p>
        </w:tc>
        <w:tc>
          <w:tcPr>
            <w:tcW w:w="1881" w:type="dxa"/>
            <w:vAlign w:val="center"/>
          </w:tcPr>
          <w:p w14:paraId="4763F3AA">
            <w:pPr>
              <w:spacing w:before="0" w:after="0"/>
              <w:jc w:val="center"/>
            </w:pPr>
            <w:r>
              <w:rPr>
                <w:rFonts w:ascii="宋体" w:hAnsi="宋体" w:eastAsia="宋体"/>
                <w:sz w:val="21"/>
              </w:rPr>
              <w:t>8%</w:t>
            </w:r>
          </w:p>
        </w:tc>
        <w:tc>
          <w:tcPr>
            <w:tcW w:w="1881" w:type="dxa"/>
            <w:vAlign w:val="center"/>
          </w:tcPr>
          <w:p w14:paraId="22221261">
            <w:pPr>
              <w:spacing w:before="0" w:after="0"/>
              <w:jc w:val="center"/>
            </w:pPr>
            <w:r>
              <w:rPr>
                <w:rFonts w:ascii="宋体" w:hAnsi="宋体" w:eastAsia="宋体"/>
                <w:sz w:val="21"/>
              </w:rPr>
              <w:t>—</w:t>
            </w:r>
          </w:p>
        </w:tc>
        <w:tc>
          <w:tcPr>
            <w:tcW w:w="1881" w:type="dxa"/>
            <w:vAlign w:val="center"/>
          </w:tcPr>
          <w:p w14:paraId="33D44A1E">
            <w:pPr>
              <w:spacing w:before="0" w:after="0"/>
              <w:jc w:val="center"/>
            </w:pPr>
            <w:r>
              <w:rPr>
                <w:rFonts w:ascii="宋体" w:hAnsi="宋体" w:eastAsia="宋体"/>
                <w:sz w:val="21"/>
              </w:rPr>
              <w:t>0</w:t>
            </w:r>
          </w:p>
        </w:tc>
      </w:tr>
      <w:tr w14:paraId="5A55AACE">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13EFB029">
            <w:pPr>
              <w:spacing w:before="0" w:after="0"/>
              <w:jc w:val="center"/>
            </w:pPr>
            <w:r>
              <w:rPr>
                <w:rFonts w:ascii="Times New Roman" w:hAnsi="Times New Roman"/>
                <w:sz w:val="21"/>
              </w:rPr>
              <w:t>I-小型</w:t>
            </w:r>
          </w:p>
        </w:tc>
        <w:tc>
          <w:tcPr>
            <w:tcW w:w="1881" w:type="dxa"/>
            <w:vAlign w:val="center"/>
          </w:tcPr>
          <w:p w14:paraId="64BB1CAB">
            <w:pPr>
              <w:spacing w:before="0" w:after="0"/>
              <w:jc w:val="center"/>
            </w:pPr>
            <w:r>
              <w:rPr>
                <w:rFonts w:ascii="宋体" w:hAnsi="宋体" w:eastAsia="宋体"/>
                <w:sz w:val="21"/>
              </w:rPr>
              <w:t>19.8%</w:t>
            </w:r>
          </w:p>
        </w:tc>
        <w:tc>
          <w:tcPr>
            <w:tcW w:w="1881" w:type="dxa"/>
            <w:vAlign w:val="center"/>
          </w:tcPr>
          <w:p w14:paraId="780BF119">
            <w:pPr>
              <w:spacing w:before="0" w:after="0"/>
              <w:jc w:val="center"/>
            </w:pPr>
            <w:r>
              <w:rPr>
                <w:rFonts w:ascii="宋体" w:hAnsi="宋体" w:eastAsia="宋体"/>
                <w:sz w:val="21"/>
              </w:rPr>
              <w:t>8%</w:t>
            </w:r>
          </w:p>
        </w:tc>
        <w:tc>
          <w:tcPr>
            <w:tcW w:w="1881" w:type="dxa"/>
            <w:vAlign w:val="center"/>
          </w:tcPr>
          <w:p w14:paraId="3FAA4AC1">
            <w:pPr>
              <w:spacing w:before="0" w:after="0"/>
              <w:jc w:val="center"/>
            </w:pPr>
            <w:r>
              <w:rPr>
                <w:rFonts w:ascii="宋体" w:hAnsi="宋体" w:eastAsia="宋体"/>
                <w:sz w:val="21"/>
              </w:rPr>
              <w:t>+11.8</w:t>
            </w:r>
          </w:p>
        </w:tc>
        <w:tc>
          <w:tcPr>
            <w:tcW w:w="1881" w:type="dxa"/>
            <w:vAlign w:val="center"/>
          </w:tcPr>
          <w:p w14:paraId="7F005E03">
            <w:pPr>
              <w:spacing w:before="0" w:after="0"/>
              <w:jc w:val="center"/>
            </w:pPr>
            <w:r>
              <w:rPr>
                <w:rFonts w:ascii="宋体" w:hAnsi="宋体" w:eastAsia="宋体"/>
                <w:sz w:val="21"/>
              </w:rPr>
              <w:t>213</w:t>
            </w:r>
          </w:p>
        </w:tc>
      </w:tr>
      <w:tr w14:paraId="3E5CEA6F">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31FA3566">
            <w:pPr>
              <w:spacing w:before="0" w:after="0"/>
              <w:jc w:val="center"/>
            </w:pPr>
            <w:r>
              <w:rPr>
                <w:rFonts w:ascii="Times New Roman" w:hAnsi="Times New Roman"/>
                <w:sz w:val="21"/>
              </w:rPr>
              <w:t>J-中型</w:t>
            </w:r>
          </w:p>
        </w:tc>
        <w:tc>
          <w:tcPr>
            <w:tcW w:w="1881" w:type="dxa"/>
            <w:vAlign w:val="center"/>
          </w:tcPr>
          <w:p w14:paraId="1AC2AC50">
            <w:pPr>
              <w:spacing w:before="0" w:after="0"/>
              <w:jc w:val="center"/>
            </w:pPr>
            <w:r>
              <w:rPr>
                <w:rFonts w:ascii="宋体" w:hAnsi="宋体" w:eastAsia="宋体"/>
                <w:sz w:val="21"/>
              </w:rPr>
              <w:t>12.6%</w:t>
            </w:r>
          </w:p>
        </w:tc>
        <w:tc>
          <w:tcPr>
            <w:tcW w:w="1881" w:type="dxa"/>
            <w:vAlign w:val="center"/>
          </w:tcPr>
          <w:p w14:paraId="17422B3E">
            <w:pPr>
              <w:spacing w:before="0" w:after="0"/>
              <w:jc w:val="center"/>
            </w:pPr>
            <w:r>
              <w:rPr>
                <w:rFonts w:ascii="宋体" w:hAnsi="宋体" w:eastAsia="宋体"/>
                <w:sz w:val="21"/>
              </w:rPr>
              <w:t>8%</w:t>
            </w:r>
          </w:p>
        </w:tc>
        <w:tc>
          <w:tcPr>
            <w:tcW w:w="1881" w:type="dxa"/>
            <w:vAlign w:val="center"/>
          </w:tcPr>
          <w:p w14:paraId="12422B97">
            <w:pPr>
              <w:spacing w:before="0" w:after="0"/>
              <w:jc w:val="center"/>
            </w:pPr>
            <w:r>
              <w:rPr>
                <w:rFonts w:ascii="宋体" w:hAnsi="宋体" w:eastAsia="宋体"/>
                <w:sz w:val="21"/>
              </w:rPr>
              <w:t>+4.6</w:t>
            </w:r>
          </w:p>
        </w:tc>
        <w:tc>
          <w:tcPr>
            <w:tcW w:w="1881" w:type="dxa"/>
            <w:vAlign w:val="center"/>
          </w:tcPr>
          <w:p w14:paraId="1F9EEA46">
            <w:pPr>
              <w:spacing w:before="0" w:after="0"/>
              <w:jc w:val="center"/>
            </w:pPr>
            <w:r>
              <w:rPr>
                <w:rFonts w:ascii="宋体" w:hAnsi="宋体" w:eastAsia="宋体"/>
                <w:sz w:val="21"/>
              </w:rPr>
              <w:t>36</w:t>
            </w:r>
          </w:p>
        </w:tc>
      </w:tr>
      <w:tr w14:paraId="0FBAA345">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1463A47D">
            <w:pPr>
              <w:spacing w:before="0" w:after="0"/>
              <w:jc w:val="center"/>
            </w:pPr>
            <w:r>
              <w:rPr>
                <w:rFonts w:ascii="宋体" w:hAnsi="宋体" w:eastAsia="宋体"/>
                <w:sz w:val="21"/>
              </w:rPr>
              <w:t>合计</w:t>
            </w:r>
          </w:p>
        </w:tc>
        <w:tc>
          <w:tcPr>
            <w:tcW w:w="1881" w:type="dxa"/>
            <w:vAlign w:val="center"/>
          </w:tcPr>
          <w:p w14:paraId="7AAEFC9F">
            <w:pPr>
              <w:spacing w:before="0" w:after="0"/>
              <w:jc w:val="center"/>
            </w:pPr>
            <w:r>
              <w:rPr>
                <w:rFonts w:ascii="宋体" w:hAnsi="宋体" w:eastAsia="宋体"/>
                <w:sz w:val="21"/>
              </w:rPr>
              <w:t>均值13.4%</w:t>
            </w:r>
          </w:p>
        </w:tc>
        <w:tc>
          <w:tcPr>
            <w:tcW w:w="1881" w:type="dxa"/>
            <w:vAlign w:val="center"/>
          </w:tcPr>
          <w:p w14:paraId="25C227E4">
            <w:pPr>
              <w:spacing w:before="0" w:after="0"/>
              <w:jc w:val="center"/>
            </w:pPr>
            <w:r>
              <w:rPr>
                <w:rFonts w:ascii="宋体" w:hAnsi="宋体" w:eastAsia="宋体"/>
                <w:sz w:val="21"/>
              </w:rPr>
              <w:t>—</w:t>
            </w:r>
          </w:p>
        </w:tc>
        <w:tc>
          <w:tcPr>
            <w:tcW w:w="1881" w:type="dxa"/>
            <w:vAlign w:val="center"/>
          </w:tcPr>
          <w:p w14:paraId="4103EA53">
            <w:pPr>
              <w:spacing w:before="0" w:after="0"/>
              <w:jc w:val="center"/>
            </w:pPr>
            <w:r>
              <w:rPr>
                <w:rFonts w:ascii="宋体" w:hAnsi="宋体" w:eastAsia="宋体"/>
                <w:sz w:val="21"/>
              </w:rPr>
              <w:t>+5.4</w:t>
            </w:r>
          </w:p>
        </w:tc>
        <w:tc>
          <w:tcPr>
            <w:tcW w:w="1881" w:type="dxa"/>
            <w:vAlign w:val="center"/>
          </w:tcPr>
          <w:p w14:paraId="61A2C951">
            <w:pPr>
              <w:spacing w:before="0" w:after="0"/>
              <w:jc w:val="center"/>
            </w:pPr>
            <w:r>
              <w:rPr>
                <w:rFonts w:ascii="宋体" w:hAnsi="宋体" w:eastAsia="宋体"/>
                <w:sz w:val="21"/>
              </w:rPr>
              <w:t>346</w:t>
            </w:r>
          </w:p>
        </w:tc>
      </w:tr>
    </w:tbl>
    <w:p w14:paraId="652B15B4">
      <w:pPr>
        <w:spacing w:line="360" w:lineRule="auto"/>
        <w:ind w:firstLine="480"/>
      </w:pPr>
      <w:r>
        <w:rPr>
          <w:rFonts w:ascii="Times New Roman" w:hAnsi="Times New Roman" w:eastAsia="宋体"/>
          <w:sz w:val="24"/>
        </w:rPr>
        <w:t>若实施超额利润回收机制，将超出8%的部分以专项基金形式回收，年回收规模约346万元，可覆盖G站补贴缺口（约17.5万元/年）的20倍，并足以支撑新增1个小型站的建设（18万元）。建议政策采用双层机制：① 短期允许利润率上探至15%，将超额部分（&gt;8%）通过专项基金回收，形成站际交叉补贴的财政闭环；② 长期通过扩容（问题4验证140万元预算可缓解供需缺口）使利润率自然回归8%区间。</w:t>
      </w:r>
    </w:p>
    <w:p w14:paraId="2BFA3B2C">
      <w:pPr>
        <w:spacing w:before="160" w:after="60"/>
      </w:pPr>
      <w:r>
        <w:rPr>
          <w:rFonts w:ascii="黑体" w:hAnsi="黑体" w:eastAsia="黑体"/>
          <w:b/>
          <w:sz w:val="24"/>
        </w:rPr>
        <w:t>6.3.1 无补贴反事实分析</w:t>
      </w:r>
    </w:p>
    <w:p w14:paraId="0C72C0C7">
      <w:pPr>
        <w:spacing w:line="360" w:lineRule="auto"/>
        <w:ind w:firstLine="480"/>
      </w:pPr>
      <w:r>
        <w:rPr>
          <w:rFonts w:ascii="Times New Roman" w:hAnsi="Times New Roman" w:eastAsia="宋体"/>
          <w:sz w:val="24"/>
        </w:rPr>
        <w:t>为量化补贴政策的实际效果，构建"补贴=0"反事实情景进行对比（表11）。无补贴时各站利润率显著下降：A站由14.1%降至7.0%（满足8%约束），J站由12.6%降至4.2%；而G站由5.9%降至-5.4%（触及-5%下限），面临政策性关停风险。补贴对边际站点（G站）的杠杆效应最为突出——若无补贴，G站将无法持续运营，F小区将失去最近服务节点（图10）。</w:t>
      </w:r>
    </w:p>
    <w:p w14:paraId="256D00BE">
      <w:pPr>
        <w:spacing w:before="80"/>
        <w:jc w:val="center"/>
      </w:pPr>
      <w:r>
        <w:rPr>
          <w:rFonts w:ascii="宋体" w:hAnsi="宋体" w:eastAsia="宋体"/>
          <w:b/>
          <w:sz w:val="21"/>
        </w:rPr>
        <w:t>表11  有/无补贴情景对比</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1568"/>
        <w:gridCol w:w="1568"/>
        <w:gridCol w:w="1568"/>
        <w:gridCol w:w="1568"/>
        <w:gridCol w:w="1568"/>
        <w:gridCol w:w="1568"/>
      </w:tblGrid>
      <w:tr w14:paraId="23C0B986">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tcBorders>
              <w:bottom w:val="single" w:color="000000" w:sz="6" w:space="0"/>
            </w:tcBorders>
            <w:vAlign w:val="center"/>
          </w:tcPr>
          <w:p w14:paraId="2C17BF93">
            <w:pPr>
              <w:spacing w:before="0" w:after="0"/>
              <w:jc w:val="center"/>
            </w:pPr>
            <w:r>
              <w:rPr>
                <w:rFonts w:ascii="宋体" w:hAnsi="宋体" w:eastAsia="宋体"/>
                <w:b/>
                <w:sz w:val="21"/>
              </w:rPr>
              <w:t>站点</w:t>
            </w:r>
          </w:p>
        </w:tc>
        <w:tc>
          <w:tcPr>
            <w:tcW w:w="1568" w:type="dxa"/>
            <w:tcBorders>
              <w:bottom w:val="single" w:color="000000" w:sz="6" w:space="0"/>
            </w:tcBorders>
            <w:vAlign w:val="center"/>
          </w:tcPr>
          <w:p w14:paraId="6E1ECBB9">
            <w:pPr>
              <w:spacing w:before="0" w:after="0"/>
              <w:jc w:val="center"/>
            </w:pPr>
            <w:r>
              <w:rPr>
                <w:rFonts w:ascii="宋体" w:hAnsi="宋体" w:eastAsia="宋体"/>
                <w:b/>
                <w:sz w:val="21"/>
              </w:rPr>
              <w:t>有补贴利润率</w:t>
            </w:r>
          </w:p>
        </w:tc>
        <w:tc>
          <w:tcPr>
            <w:tcW w:w="1568" w:type="dxa"/>
            <w:tcBorders>
              <w:bottom w:val="single" w:color="000000" w:sz="6" w:space="0"/>
            </w:tcBorders>
            <w:vAlign w:val="center"/>
          </w:tcPr>
          <w:p w14:paraId="72448721">
            <w:pPr>
              <w:spacing w:before="0" w:after="0"/>
              <w:jc w:val="center"/>
            </w:pPr>
            <w:r>
              <w:rPr>
                <w:rFonts w:ascii="宋体" w:hAnsi="宋体" w:eastAsia="宋体"/>
                <w:b/>
                <w:sz w:val="21"/>
              </w:rPr>
              <w:t>无补贴利润率</w:t>
            </w:r>
          </w:p>
        </w:tc>
        <w:tc>
          <w:tcPr>
            <w:tcW w:w="1568" w:type="dxa"/>
            <w:tcBorders>
              <w:bottom w:val="single" w:color="000000" w:sz="6" w:space="0"/>
            </w:tcBorders>
            <w:vAlign w:val="center"/>
          </w:tcPr>
          <w:p w14:paraId="74B9BF97">
            <w:pPr>
              <w:spacing w:before="0" w:after="0"/>
              <w:jc w:val="center"/>
            </w:pPr>
            <w:r>
              <w:rPr>
                <w:rFonts w:ascii="宋体" w:hAnsi="宋体" w:eastAsia="宋体"/>
                <w:b/>
                <w:sz w:val="21"/>
              </w:rPr>
              <w:t>利润率变化</w:t>
            </w:r>
          </w:p>
        </w:tc>
        <w:tc>
          <w:tcPr>
            <w:tcW w:w="1568" w:type="dxa"/>
            <w:tcBorders>
              <w:bottom w:val="single" w:color="000000" w:sz="6" w:space="0"/>
            </w:tcBorders>
            <w:vAlign w:val="center"/>
          </w:tcPr>
          <w:p w14:paraId="53B76B28">
            <w:pPr>
              <w:spacing w:before="0" w:after="0"/>
              <w:jc w:val="center"/>
            </w:pPr>
            <w:r>
              <w:rPr>
                <w:rFonts w:ascii="宋体" w:hAnsi="宋体" w:eastAsia="宋体"/>
                <w:b/>
                <w:sz w:val="21"/>
              </w:rPr>
              <w:t>年补贴(万)</w:t>
            </w:r>
          </w:p>
        </w:tc>
        <w:tc>
          <w:tcPr>
            <w:tcW w:w="1568" w:type="dxa"/>
            <w:tcBorders>
              <w:bottom w:val="single" w:color="000000" w:sz="6" w:space="0"/>
            </w:tcBorders>
            <w:vAlign w:val="center"/>
          </w:tcPr>
          <w:p w14:paraId="07BAAB21">
            <w:pPr>
              <w:spacing w:before="0" w:after="0"/>
              <w:jc w:val="center"/>
            </w:pPr>
            <w:r>
              <w:rPr>
                <w:rFonts w:ascii="宋体" w:hAnsi="宋体" w:eastAsia="宋体"/>
                <w:b/>
                <w:sz w:val="21"/>
              </w:rPr>
              <w:t>补贴占总成本</w:t>
            </w:r>
          </w:p>
        </w:tc>
      </w:tr>
      <w:tr w14:paraId="353DC762">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61E1CFD1">
            <w:pPr>
              <w:spacing w:before="0" w:after="0"/>
              <w:jc w:val="center"/>
            </w:pPr>
            <w:r>
              <w:rPr>
                <w:rFonts w:ascii="Times New Roman" w:hAnsi="Times New Roman"/>
                <w:sz w:val="21"/>
              </w:rPr>
              <w:t>A-中型</w:t>
            </w:r>
          </w:p>
        </w:tc>
        <w:tc>
          <w:tcPr>
            <w:tcW w:w="1568" w:type="dxa"/>
            <w:vAlign w:val="center"/>
          </w:tcPr>
          <w:p w14:paraId="2EC51A3E">
            <w:pPr>
              <w:spacing w:before="0" w:after="0"/>
              <w:jc w:val="center"/>
            </w:pPr>
            <w:r>
              <w:rPr>
                <w:rFonts w:ascii="宋体" w:hAnsi="宋体" w:eastAsia="宋体"/>
                <w:sz w:val="21"/>
              </w:rPr>
              <w:t>14.1%</w:t>
            </w:r>
          </w:p>
        </w:tc>
        <w:tc>
          <w:tcPr>
            <w:tcW w:w="1568" w:type="dxa"/>
            <w:vAlign w:val="center"/>
          </w:tcPr>
          <w:p w14:paraId="6CC411E5">
            <w:pPr>
              <w:spacing w:before="0" w:after="0"/>
              <w:jc w:val="center"/>
            </w:pPr>
            <w:r>
              <w:rPr>
                <w:rFonts w:ascii="宋体" w:hAnsi="宋体" w:eastAsia="宋体"/>
                <w:sz w:val="21"/>
              </w:rPr>
              <w:t>7.0%</w:t>
            </w:r>
          </w:p>
        </w:tc>
        <w:tc>
          <w:tcPr>
            <w:tcW w:w="1568" w:type="dxa"/>
            <w:vAlign w:val="center"/>
          </w:tcPr>
          <w:p w14:paraId="72C08C94">
            <w:pPr>
              <w:spacing w:before="0" w:after="0"/>
              <w:jc w:val="center"/>
            </w:pPr>
            <w:r>
              <w:rPr>
                <w:rFonts w:ascii="Times New Roman" w:hAnsi="Times New Roman"/>
                <w:sz w:val="21"/>
              </w:rPr>
              <w:t>−7.1pp</w:t>
            </w:r>
          </w:p>
        </w:tc>
        <w:tc>
          <w:tcPr>
            <w:tcW w:w="1568" w:type="dxa"/>
            <w:vAlign w:val="center"/>
          </w:tcPr>
          <w:p w14:paraId="3DFD9985">
            <w:pPr>
              <w:spacing w:before="0" w:after="0"/>
              <w:jc w:val="center"/>
            </w:pPr>
            <w:r>
              <w:rPr>
                <w:rFonts w:ascii="宋体" w:hAnsi="宋体" w:eastAsia="宋体"/>
                <w:sz w:val="21"/>
              </w:rPr>
              <w:t>65.7</w:t>
            </w:r>
          </w:p>
        </w:tc>
        <w:tc>
          <w:tcPr>
            <w:tcW w:w="1568" w:type="dxa"/>
            <w:vAlign w:val="center"/>
          </w:tcPr>
          <w:p w14:paraId="69C6CE09">
            <w:pPr>
              <w:spacing w:before="0" w:after="0"/>
              <w:jc w:val="center"/>
            </w:pPr>
            <w:r>
              <w:rPr>
                <w:rFonts w:ascii="宋体" w:hAnsi="宋体" w:eastAsia="宋体"/>
                <w:sz w:val="21"/>
              </w:rPr>
              <w:t>7.2%</w:t>
            </w:r>
          </w:p>
        </w:tc>
      </w:tr>
      <w:tr w14:paraId="19438317">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044B09FD">
            <w:pPr>
              <w:spacing w:before="0" w:after="0"/>
              <w:jc w:val="center"/>
            </w:pPr>
            <w:r>
              <w:rPr>
                <w:rFonts w:ascii="Times New Roman" w:hAnsi="Times New Roman"/>
                <w:sz w:val="21"/>
              </w:rPr>
              <w:t>C-小型</w:t>
            </w:r>
          </w:p>
        </w:tc>
        <w:tc>
          <w:tcPr>
            <w:tcW w:w="1568" w:type="dxa"/>
            <w:vAlign w:val="center"/>
          </w:tcPr>
          <w:p w14:paraId="26C59491">
            <w:pPr>
              <w:spacing w:before="0" w:after="0"/>
              <w:jc w:val="center"/>
            </w:pPr>
            <w:r>
              <w:rPr>
                <w:rFonts w:ascii="宋体" w:hAnsi="宋体" w:eastAsia="宋体"/>
                <w:sz w:val="21"/>
              </w:rPr>
              <w:t>14.4%</w:t>
            </w:r>
          </w:p>
        </w:tc>
        <w:tc>
          <w:tcPr>
            <w:tcW w:w="1568" w:type="dxa"/>
            <w:vAlign w:val="center"/>
          </w:tcPr>
          <w:p w14:paraId="0C8C1E56">
            <w:pPr>
              <w:spacing w:before="0" w:after="0"/>
              <w:jc w:val="center"/>
            </w:pPr>
            <w:r>
              <w:rPr>
                <w:rFonts w:ascii="宋体" w:hAnsi="宋体" w:eastAsia="宋体"/>
                <w:sz w:val="21"/>
              </w:rPr>
              <w:t>8.7%</w:t>
            </w:r>
          </w:p>
        </w:tc>
        <w:tc>
          <w:tcPr>
            <w:tcW w:w="1568" w:type="dxa"/>
            <w:vAlign w:val="center"/>
          </w:tcPr>
          <w:p w14:paraId="7DFA88F7">
            <w:pPr>
              <w:spacing w:before="0" w:after="0"/>
              <w:jc w:val="center"/>
            </w:pPr>
            <w:r>
              <w:rPr>
                <w:rFonts w:ascii="Times New Roman" w:hAnsi="Times New Roman"/>
                <w:sz w:val="21"/>
              </w:rPr>
              <w:t>−5.7pp</w:t>
            </w:r>
          </w:p>
        </w:tc>
        <w:tc>
          <w:tcPr>
            <w:tcW w:w="1568" w:type="dxa"/>
            <w:vAlign w:val="center"/>
          </w:tcPr>
          <w:p w14:paraId="0D6387B7">
            <w:pPr>
              <w:spacing w:before="0" w:after="0"/>
              <w:jc w:val="center"/>
            </w:pPr>
            <w:r>
              <w:rPr>
                <w:rFonts w:ascii="宋体" w:hAnsi="宋体" w:eastAsia="宋体"/>
                <w:sz w:val="21"/>
              </w:rPr>
              <w:t>36.5</w:t>
            </w:r>
          </w:p>
        </w:tc>
        <w:tc>
          <w:tcPr>
            <w:tcW w:w="1568" w:type="dxa"/>
            <w:vAlign w:val="center"/>
          </w:tcPr>
          <w:p w14:paraId="485A31A2">
            <w:pPr>
              <w:spacing w:before="0" w:after="0"/>
              <w:jc w:val="center"/>
            </w:pPr>
            <w:r>
              <w:rPr>
                <w:rFonts w:ascii="宋体" w:hAnsi="宋体" w:eastAsia="宋体"/>
                <w:sz w:val="21"/>
              </w:rPr>
              <w:t>5.7%</w:t>
            </w:r>
          </w:p>
        </w:tc>
      </w:tr>
      <w:tr w14:paraId="78039D89">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40B912BA">
            <w:pPr>
              <w:spacing w:before="0" w:after="0"/>
              <w:jc w:val="center"/>
            </w:pPr>
            <w:r>
              <w:rPr>
                <w:rFonts w:ascii="Times New Roman" w:hAnsi="Times New Roman"/>
                <w:sz w:val="21"/>
              </w:rPr>
              <w:t>G-小型</w:t>
            </w:r>
          </w:p>
        </w:tc>
        <w:tc>
          <w:tcPr>
            <w:tcW w:w="1568" w:type="dxa"/>
            <w:vAlign w:val="center"/>
          </w:tcPr>
          <w:p w14:paraId="69DD238D">
            <w:pPr>
              <w:spacing w:before="0" w:after="0"/>
              <w:jc w:val="center"/>
            </w:pPr>
            <w:r>
              <w:rPr>
                <w:rFonts w:ascii="宋体" w:hAnsi="宋体" w:eastAsia="宋体"/>
                <w:sz w:val="21"/>
              </w:rPr>
              <w:t>5.9%</w:t>
            </w:r>
          </w:p>
        </w:tc>
        <w:tc>
          <w:tcPr>
            <w:tcW w:w="1568" w:type="dxa"/>
            <w:vAlign w:val="center"/>
          </w:tcPr>
          <w:p w14:paraId="72AAF76D">
            <w:pPr>
              <w:spacing w:before="0" w:after="0"/>
              <w:jc w:val="center"/>
            </w:pPr>
            <w:r>
              <w:rPr>
                <w:rFonts w:ascii="宋体" w:hAnsi="宋体" w:eastAsia="宋体"/>
                <w:sz w:val="21"/>
              </w:rPr>
              <w:t>−5.4%</w:t>
            </w:r>
          </w:p>
        </w:tc>
        <w:tc>
          <w:tcPr>
            <w:tcW w:w="1568" w:type="dxa"/>
            <w:vAlign w:val="center"/>
          </w:tcPr>
          <w:p w14:paraId="361389CD">
            <w:pPr>
              <w:spacing w:before="0" w:after="0"/>
              <w:jc w:val="center"/>
            </w:pPr>
            <w:r>
              <w:rPr>
                <w:rFonts w:ascii="Times New Roman" w:hAnsi="Times New Roman"/>
                <w:sz w:val="21"/>
              </w:rPr>
              <w:t>−11.3pp</w:t>
            </w:r>
          </w:p>
        </w:tc>
        <w:tc>
          <w:tcPr>
            <w:tcW w:w="1568" w:type="dxa"/>
            <w:vAlign w:val="center"/>
          </w:tcPr>
          <w:p w14:paraId="59AC5E4D">
            <w:pPr>
              <w:spacing w:before="0" w:after="0"/>
              <w:jc w:val="center"/>
            </w:pPr>
            <w:r>
              <w:rPr>
                <w:rFonts w:ascii="宋体" w:hAnsi="宋体" w:eastAsia="宋体"/>
                <w:sz w:val="21"/>
              </w:rPr>
              <w:t>36.5</w:t>
            </w:r>
          </w:p>
        </w:tc>
        <w:tc>
          <w:tcPr>
            <w:tcW w:w="1568" w:type="dxa"/>
            <w:vAlign w:val="center"/>
          </w:tcPr>
          <w:p w14:paraId="7BC89E6E">
            <w:pPr>
              <w:spacing w:before="0" w:after="0"/>
              <w:jc w:val="center"/>
            </w:pPr>
            <w:r>
              <w:rPr>
                <w:rFonts w:ascii="宋体" w:hAnsi="宋体" w:eastAsia="宋体"/>
                <w:sz w:val="21"/>
              </w:rPr>
              <w:t>11.3%</w:t>
            </w:r>
          </w:p>
        </w:tc>
      </w:tr>
      <w:tr w14:paraId="402D50CD">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03367E27">
            <w:pPr>
              <w:spacing w:before="0" w:after="0"/>
              <w:jc w:val="center"/>
            </w:pPr>
            <w:r>
              <w:rPr>
                <w:rFonts w:ascii="Times New Roman" w:hAnsi="Times New Roman"/>
                <w:sz w:val="21"/>
              </w:rPr>
              <w:t>I-小型</w:t>
            </w:r>
          </w:p>
        </w:tc>
        <w:tc>
          <w:tcPr>
            <w:tcW w:w="1568" w:type="dxa"/>
            <w:vAlign w:val="center"/>
          </w:tcPr>
          <w:p w14:paraId="69F7ACBF">
            <w:pPr>
              <w:spacing w:before="0" w:after="0"/>
              <w:jc w:val="center"/>
            </w:pPr>
            <w:r>
              <w:rPr>
                <w:rFonts w:ascii="宋体" w:hAnsi="宋体" w:eastAsia="宋体"/>
                <w:sz w:val="21"/>
              </w:rPr>
              <w:t>19.8%</w:t>
            </w:r>
          </w:p>
        </w:tc>
        <w:tc>
          <w:tcPr>
            <w:tcW w:w="1568" w:type="dxa"/>
            <w:vAlign w:val="center"/>
          </w:tcPr>
          <w:p w14:paraId="549F40A9">
            <w:pPr>
              <w:spacing w:before="0" w:after="0"/>
              <w:jc w:val="center"/>
            </w:pPr>
            <w:r>
              <w:rPr>
                <w:rFonts w:ascii="宋体" w:hAnsi="宋体" w:eastAsia="宋体"/>
                <w:sz w:val="21"/>
              </w:rPr>
              <w:t>17.8%</w:t>
            </w:r>
          </w:p>
        </w:tc>
        <w:tc>
          <w:tcPr>
            <w:tcW w:w="1568" w:type="dxa"/>
            <w:vAlign w:val="center"/>
          </w:tcPr>
          <w:p w14:paraId="52B60CE9">
            <w:pPr>
              <w:spacing w:before="0" w:after="0"/>
              <w:jc w:val="center"/>
            </w:pPr>
            <w:r>
              <w:rPr>
                <w:rFonts w:ascii="Times New Roman" w:hAnsi="Times New Roman"/>
                <w:sz w:val="21"/>
              </w:rPr>
              <w:t>−2.0pp</w:t>
            </w:r>
          </w:p>
        </w:tc>
        <w:tc>
          <w:tcPr>
            <w:tcW w:w="1568" w:type="dxa"/>
            <w:vAlign w:val="center"/>
          </w:tcPr>
          <w:p w14:paraId="7ECB0C7E">
            <w:pPr>
              <w:spacing w:before="0" w:after="0"/>
              <w:jc w:val="center"/>
            </w:pPr>
            <w:r>
              <w:rPr>
                <w:rFonts w:ascii="宋体" w:hAnsi="宋体" w:eastAsia="宋体"/>
                <w:sz w:val="21"/>
              </w:rPr>
              <w:t>36.5</w:t>
            </w:r>
          </w:p>
        </w:tc>
        <w:tc>
          <w:tcPr>
            <w:tcW w:w="1568" w:type="dxa"/>
            <w:vAlign w:val="center"/>
          </w:tcPr>
          <w:p w14:paraId="5E8C05F3">
            <w:pPr>
              <w:spacing w:before="0" w:after="0"/>
              <w:jc w:val="center"/>
            </w:pPr>
            <w:r>
              <w:rPr>
                <w:rFonts w:ascii="宋体" w:hAnsi="宋体" w:eastAsia="宋体"/>
                <w:sz w:val="21"/>
              </w:rPr>
              <w:t>2.0%</w:t>
            </w:r>
          </w:p>
        </w:tc>
      </w:tr>
      <w:tr w14:paraId="0C4261F6">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568" w:type="dxa"/>
            <w:vAlign w:val="center"/>
          </w:tcPr>
          <w:p w14:paraId="4C1D2A48">
            <w:pPr>
              <w:spacing w:before="0" w:after="0"/>
              <w:jc w:val="center"/>
            </w:pPr>
            <w:r>
              <w:rPr>
                <w:rFonts w:ascii="Times New Roman" w:hAnsi="Times New Roman"/>
                <w:sz w:val="21"/>
              </w:rPr>
              <w:t>J-中型</w:t>
            </w:r>
          </w:p>
        </w:tc>
        <w:tc>
          <w:tcPr>
            <w:tcW w:w="1568" w:type="dxa"/>
            <w:vAlign w:val="center"/>
          </w:tcPr>
          <w:p w14:paraId="1E8C5826">
            <w:pPr>
              <w:spacing w:before="0" w:after="0"/>
              <w:jc w:val="center"/>
            </w:pPr>
            <w:r>
              <w:rPr>
                <w:rFonts w:ascii="宋体" w:hAnsi="宋体" w:eastAsia="宋体"/>
                <w:sz w:val="21"/>
              </w:rPr>
              <w:t>12.6%</w:t>
            </w:r>
          </w:p>
        </w:tc>
        <w:tc>
          <w:tcPr>
            <w:tcW w:w="1568" w:type="dxa"/>
            <w:vAlign w:val="center"/>
          </w:tcPr>
          <w:p w14:paraId="0B75993C">
            <w:pPr>
              <w:spacing w:before="0" w:after="0"/>
              <w:jc w:val="center"/>
            </w:pPr>
            <w:r>
              <w:rPr>
                <w:rFonts w:ascii="宋体" w:hAnsi="宋体" w:eastAsia="宋体"/>
                <w:sz w:val="21"/>
              </w:rPr>
              <w:t>4.2%</w:t>
            </w:r>
          </w:p>
        </w:tc>
        <w:tc>
          <w:tcPr>
            <w:tcW w:w="1568" w:type="dxa"/>
            <w:vAlign w:val="center"/>
          </w:tcPr>
          <w:p w14:paraId="06A42E4D">
            <w:pPr>
              <w:spacing w:before="0" w:after="0"/>
              <w:jc w:val="center"/>
            </w:pPr>
            <w:r>
              <w:rPr>
                <w:rFonts w:ascii="Times New Roman" w:hAnsi="Times New Roman"/>
                <w:sz w:val="21"/>
              </w:rPr>
              <w:t>−8.4pp</w:t>
            </w:r>
          </w:p>
        </w:tc>
        <w:tc>
          <w:tcPr>
            <w:tcW w:w="1568" w:type="dxa"/>
            <w:vAlign w:val="center"/>
          </w:tcPr>
          <w:p w14:paraId="7FF7E34D">
            <w:pPr>
              <w:spacing w:before="0" w:after="0"/>
              <w:jc w:val="center"/>
            </w:pPr>
            <w:r>
              <w:rPr>
                <w:rFonts w:ascii="宋体" w:hAnsi="宋体" w:eastAsia="宋体"/>
                <w:sz w:val="21"/>
              </w:rPr>
              <w:t>65.7</w:t>
            </w:r>
          </w:p>
        </w:tc>
        <w:tc>
          <w:tcPr>
            <w:tcW w:w="1568" w:type="dxa"/>
            <w:vAlign w:val="center"/>
          </w:tcPr>
          <w:p w14:paraId="1FE8554B">
            <w:pPr>
              <w:spacing w:before="0" w:after="0"/>
              <w:jc w:val="center"/>
            </w:pPr>
            <w:r>
              <w:rPr>
                <w:rFonts w:ascii="宋体" w:hAnsi="宋体" w:eastAsia="宋体"/>
                <w:sz w:val="21"/>
              </w:rPr>
              <w:t>8.4%</w:t>
            </w:r>
          </w:p>
        </w:tc>
      </w:tr>
    </w:tbl>
    <w:p w14:paraId="2A6200BE">
      <w:pPr>
        <w:jc w:val="center"/>
      </w:pPr>
    </w:p>
    <w:p w14:paraId="5C6DBF42">
      <w:pPr>
        <w:jc w:val="center"/>
      </w:pPr>
      <w:r>
        <w:drawing>
          <wp:inline distT="0" distB="0" distL="114300" distR="114300">
            <wp:extent cx="4572000" cy="28892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572000" cy="2889557"/>
                    </a:xfrm>
                    <a:prstGeom prst="rect">
                      <a:avLst/>
                    </a:prstGeom>
                  </pic:spPr>
                </pic:pic>
              </a:graphicData>
            </a:graphic>
          </wp:inline>
        </w:drawing>
      </w:r>
    </w:p>
    <w:p w14:paraId="4A15C3EB">
      <w:pPr>
        <w:jc w:val="center"/>
      </w:pPr>
      <w:r>
        <w:rPr>
          <w:rFonts w:ascii="宋体" w:hAnsi="宋体" w:eastAsia="宋体"/>
          <w:b/>
          <w:sz w:val="21"/>
        </w:rPr>
        <w:t>图10  补贴杠杆作用：有/无补贴站点利润率对比</w:t>
      </w:r>
    </w:p>
    <w:p w14:paraId="28E412B2">
      <w:pPr>
        <w:spacing w:line="360" w:lineRule="auto"/>
        <w:ind w:firstLine="480"/>
      </w:pPr>
      <w:r>
        <w:rPr>
          <w:rFonts w:ascii="Times New Roman" w:hAnsi="Times New Roman" w:eastAsia="宋体"/>
          <w:sz w:val="24"/>
        </w:rPr>
        <w:t>基于上述政策机制，设计三阶段分步实施路线（表12）：短期（第1-2年）完成5站建设并启动G站专项补贴，投资109万元；中期（第3-4年）启动超额利润回收机制，年回收约346万元反哺边缘站点；长期（第5年起）预算扩至140万元，新增1站缓解容量压力，全系统利润率自然回归8%区间。三阶段"建设—调节—扩容"闭环与本文核心发现一一对应。</w:t>
      </w:r>
    </w:p>
    <w:p w14:paraId="5965B9A2">
      <w:pPr>
        <w:spacing w:before="80"/>
        <w:jc w:val="center"/>
      </w:pPr>
      <w:r>
        <w:rPr>
          <w:rFonts w:ascii="宋体" w:hAnsi="宋体" w:eastAsia="宋体"/>
          <w:b/>
          <w:sz w:val="21"/>
        </w:rPr>
        <w:t>表12  三阶段政策实施路线图</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2351"/>
        <w:gridCol w:w="2351"/>
        <w:gridCol w:w="2351"/>
        <w:gridCol w:w="2351"/>
      </w:tblGrid>
      <w:tr w14:paraId="4AD905DC">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tcBorders>
              <w:bottom w:val="single" w:color="000000" w:sz="6" w:space="0"/>
            </w:tcBorders>
            <w:vAlign w:val="center"/>
          </w:tcPr>
          <w:p w14:paraId="176C4872">
            <w:pPr>
              <w:spacing w:before="0" w:after="0"/>
              <w:jc w:val="center"/>
            </w:pPr>
            <w:r>
              <w:rPr>
                <w:rFonts w:ascii="宋体" w:hAnsi="宋体" w:eastAsia="宋体"/>
                <w:b/>
                <w:sz w:val="21"/>
              </w:rPr>
              <w:t>阶段</w:t>
            </w:r>
          </w:p>
        </w:tc>
        <w:tc>
          <w:tcPr>
            <w:tcW w:w="2351" w:type="dxa"/>
            <w:tcBorders>
              <w:bottom w:val="single" w:color="000000" w:sz="6" w:space="0"/>
            </w:tcBorders>
            <w:vAlign w:val="center"/>
          </w:tcPr>
          <w:p w14:paraId="227B4894">
            <w:pPr>
              <w:spacing w:before="0" w:after="0"/>
              <w:jc w:val="center"/>
            </w:pPr>
            <w:r>
              <w:rPr>
                <w:rFonts w:ascii="宋体" w:hAnsi="宋体" w:eastAsia="宋体"/>
                <w:b/>
                <w:sz w:val="21"/>
              </w:rPr>
              <w:t>时间</w:t>
            </w:r>
          </w:p>
        </w:tc>
        <w:tc>
          <w:tcPr>
            <w:tcW w:w="2351" w:type="dxa"/>
            <w:tcBorders>
              <w:bottom w:val="single" w:color="000000" w:sz="6" w:space="0"/>
            </w:tcBorders>
            <w:vAlign w:val="center"/>
          </w:tcPr>
          <w:p w14:paraId="57E1311F">
            <w:pPr>
              <w:spacing w:before="0" w:after="0"/>
              <w:jc w:val="center"/>
            </w:pPr>
            <w:r>
              <w:rPr>
                <w:rFonts w:ascii="宋体" w:hAnsi="宋体" w:eastAsia="宋体"/>
                <w:b/>
                <w:sz w:val="21"/>
              </w:rPr>
              <w:t>核心动作</w:t>
            </w:r>
          </w:p>
        </w:tc>
        <w:tc>
          <w:tcPr>
            <w:tcW w:w="2351" w:type="dxa"/>
            <w:tcBorders>
              <w:bottom w:val="single" w:color="000000" w:sz="6" w:space="0"/>
            </w:tcBorders>
            <w:vAlign w:val="center"/>
          </w:tcPr>
          <w:p w14:paraId="138799C4">
            <w:pPr>
              <w:spacing w:before="0" w:after="0"/>
              <w:jc w:val="center"/>
            </w:pPr>
            <w:r>
              <w:rPr>
                <w:rFonts w:ascii="宋体" w:hAnsi="宋体" w:eastAsia="宋体"/>
                <w:b/>
                <w:sz w:val="21"/>
              </w:rPr>
              <w:t>量化目标</w:t>
            </w:r>
          </w:p>
        </w:tc>
      </w:tr>
      <w:tr w14:paraId="6E2BED1A">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46F055ED">
            <w:pPr>
              <w:spacing w:before="0" w:after="0"/>
              <w:jc w:val="center"/>
            </w:pPr>
            <w:r>
              <w:rPr>
                <w:rFonts w:ascii="宋体" w:hAnsi="宋体" w:eastAsia="宋体"/>
                <w:sz w:val="21"/>
              </w:rPr>
              <w:t>短期：建站启动</w:t>
            </w:r>
          </w:p>
        </w:tc>
        <w:tc>
          <w:tcPr>
            <w:tcW w:w="2351" w:type="dxa"/>
            <w:vAlign w:val="center"/>
          </w:tcPr>
          <w:p w14:paraId="780A1E26">
            <w:pPr>
              <w:spacing w:before="0" w:after="0"/>
              <w:jc w:val="center"/>
            </w:pPr>
            <w:r>
              <w:rPr>
                <w:rFonts w:ascii="宋体" w:hAnsi="宋体" w:eastAsia="宋体"/>
                <w:sz w:val="21"/>
              </w:rPr>
              <w:t>第1-2年</w:t>
            </w:r>
          </w:p>
        </w:tc>
        <w:tc>
          <w:tcPr>
            <w:tcW w:w="2351" w:type="dxa"/>
            <w:vAlign w:val="center"/>
          </w:tcPr>
          <w:p w14:paraId="690053E2">
            <w:pPr>
              <w:spacing w:before="0" w:after="0"/>
              <w:jc w:val="center"/>
            </w:pPr>
            <w:r>
              <w:rPr>
                <w:rFonts w:ascii="Times New Roman" w:hAnsi="Times New Roman"/>
                <w:sz w:val="21"/>
              </w:rPr>
              <w:t>建设A/C/G/I/J五站，G站启动专项补贴</w:t>
            </w:r>
          </w:p>
        </w:tc>
        <w:tc>
          <w:tcPr>
            <w:tcW w:w="2351" w:type="dxa"/>
            <w:vAlign w:val="center"/>
          </w:tcPr>
          <w:p w14:paraId="3585E9C0">
            <w:pPr>
              <w:spacing w:before="0" w:after="0"/>
              <w:jc w:val="center"/>
            </w:pPr>
            <w:r>
              <w:rPr>
                <w:rFonts w:ascii="宋体" w:hAnsi="宋体" w:eastAsia="宋体"/>
                <w:sz w:val="21"/>
              </w:rPr>
              <w:t>投资109万；满意度≥0.92</w:t>
            </w:r>
          </w:p>
        </w:tc>
      </w:tr>
      <w:tr w14:paraId="61063C21">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6FCB28D3">
            <w:pPr>
              <w:spacing w:before="0" w:after="0"/>
              <w:jc w:val="center"/>
            </w:pPr>
            <w:r>
              <w:rPr>
                <w:rFonts w:ascii="宋体" w:hAnsi="宋体" w:eastAsia="宋体"/>
                <w:sz w:val="21"/>
              </w:rPr>
              <w:t>中期：超额回收</w:t>
            </w:r>
          </w:p>
        </w:tc>
        <w:tc>
          <w:tcPr>
            <w:tcW w:w="2351" w:type="dxa"/>
            <w:vAlign w:val="center"/>
          </w:tcPr>
          <w:p w14:paraId="465ECED9">
            <w:pPr>
              <w:spacing w:before="0" w:after="0"/>
              <w:jc w:val="center"/>
            </w:pPr>
            <w:r>
              <w:rPr>
                <w:rFonts w:ascii="宋体" w:hAnsi="宋体" w:eastAsia="宋体"/>
                <w:sz w:val="21"/>
              </w:rPr>
              <w:t>第3-4年</w:t>
            </w:r>
          </w:p>
        </w:tc>
        <w:tc>
          <w:tcPr>
            <w:tcW w:w="2351" w:type="dxa"/>
            <w:vAlign w:val="center"/>
          </w:tcPr>
          <w:p w14:paraId="104C39A8">
            <w:pPr>
              <w:spacing w:before="0" w:after="0"/>
              <w:jc w:val="center"/>
            </w:pPr>
            <w:r>
              <w:rPr>
                <w:rFonts w:ascii="宋体" w:hAnsi="宋体" w:eastAsia="宋体"/>
                <w:sz w:val="21"/>
              </w:rPr>
              <w:t>启动超额利润回收，反哺边缘站与新建站准备金</w:t>
            </w:r>
          </w:p>
        </w:tc>
        <w:tc>
          <w:tcPr>
            <w:tcW w:w="2351" w:type="dxa"/>
            <w:vAlign w:val="center"/>
          </w:tcPr>
          <w:p w14:paraId="4EC595AF">
            <w:pPr>
              <w:spacing w:before="0" w:after="0"/>
              <w:jc w:val="center"/>
            </w:pPr>
            <w:r>
              <w:rPr>
                <w:rFonts w:ascii="Times New Roman" w:hAnsi="Times New Roman"/>
                <w:sz w:val="21"/>
              </w:rPr>
              <w:t>年回收346万；G站自给率100%</w:t>
            </w:r>
          </w:p>
        </w:tc>
      </w:tr>
      <w:tr w14:paraId="7B4561DC">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2351" w:type="dxa"/>
            <w:vAlign w:val="center"/>
          </w:tcPr>
          <w:p w14:paraId="7ACDC25D">
            <w:pPr>
              <w:spacing w:before="0" w:after="0"/>
              <w:jc w:val="center"/>
            </w:pPr>
            <w:r>
              <w:rPr>
                <w:rFonts w:ascii="宋体" w:hAnsi="宋体" w:eastAsia="宋体"/>
                <w:sz w:val="21"/>
              </w:rPr>
              <w:t>长期：扩容缓解</w:t>
            </w:r>
          </w:p>
        </w:tc>
        <w:tc>
          <w:tcPr>
            <w:tcW w:w="2351" w:type="dxa"/>
            <w:vAlign w:val="center"/>
          </w:tcPr>
          <w:p w14:paraId="75FC25F6">
            <w:pPr>
              <w:spacing w:before="0" w:after="0"/>
              <w:jc w:val="center"/>
            </w:pPr>
            <w:r>
              <w:rPr>
                <w:rFonts w:ascii="宋体" w:hAnsi="宋体" w:eastAsia="宋体"/>
                <w:sz w:val="21"/>
              </w:rPr>
              <w:t>第5年起</w:t>
            </w:r>
          </w:p>
        </w:tc>
        <w:tc>
          <w:tcPr>
            <w:tcW w:w="2351" w:type="dxa"/>
            <w:vAlign w:val="center"/>
          </w:tcPr>
          <w:p w14:paraId="06525B79">
            <w:pPr>
              <w:spacing w:before="0" w:after="0"/>
              <w:jc w:val="center"/>
            </w:pPr>
            <w:r>
              <w:rPr>
                <w:rFonts w:ascii="宋体" w:hAnsi="宋体" w:eastAsia="宋体"/>
                <w:sz w:val="21"/>
              </w:rPr>
              <w:t>预算扩至140万，新增1站缓解卖方市场</w:t>
            </w:r>
          </w:p>
        </w:tc>
        <w:tc>
          <w:tcPr>
            <w:tcW w:w="2351" w:type="dxa"/>
            <w:vAlign w:val="center"/>
          </w:tcPr>
          <w:p w14:paraId="7C9ADB81">
            <w:pPr>
              <w:spacing w:before="0" w:after="0"/>
              <w:jc w:val="center"/>
            </w:pPr>
            <w:r>
              <w:rPr>
                <w:rFonts w:ascii="宋体" w:hAnsi="宋体" w:eastAsia="宋体"/>
                <w:sz w:val="21"/>
              </w:rPr>
              <w:t>服务满足率≥95%；利润率8-10%</w:t>
            </w:r>
          </w:p>
        </w:tc>
      </w:tr>
    </w:tbl>
    <w:p w14:paraId="42CAD2E5">
      <w:pPr>
        <w:spacing w:before="160" w:after="60"/>
      </w:pPr>
      <w:r>
        <w:rPr>
          <w:rFonts w:ascii="黑体" w:hAnsi="黑体" w:eastAsia="黑体"/>
          <w:b/>
          <w:sz w:val="28"/>
        </w:rPr>
        <w:t>6.4 可及性分析</w:t>
      </w:r>
    </w:p>
    <w:p w14:paraId="35D81AEC">
      <w:pPr>
        <w:spacing w:line="360" w:lineRule="auto"/>
        <w:ind w:firstLine="480"/>
      </w:pPr>
      <w:r>
        <w:rPr>
          <w:rFonts w:ascii="Times New Roman" w:hAnsi="Times New Roman" w:eastAsia="宋体"/>
          <w:sz w:val="24"/>
        </w:rPr>
        <w:t>自理老人不受消费约束，经济可及性良好；半失能经补贴后有效降费6%~8%；失能面临16%~33%消费削减，补贴降负效应最显著。地理可及性实现100%覆盖，边缘F小区满意度偏低，建议"中心站+卫星点"分级体系。</w:t>
      </w:r>
    </w:p>
    <w:p w14:paraId="53DC4FF5">
      <w:pPr>
        <w:jc w:val="center"/>
      </w:pPr>
      <w:r>
        <w:drawing>
          <wp:inline distT="0" distB="0" distL="114300" distR="114300">
            <wp:extent cx="4206240" cy="2294255"/>
            <wp:effectExtent l="0" t="0" r="1016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206240" cy="2294313"/>
                    </a:xfrm>
                    <a:prstGeom prst="rect">
                      <a:avLst/>
                    </a:prstGeom>
                  </pic:spPr>
                </pic:pic>
              </a:graphicData>
            </a:graphic>
          </wp:inline>
        </w:drawing>
      </w:r>
    </w:p>
    <w:p w14:paraId="6FF99ACB">
      <w:pPr>
        <w:jc w:val="center"/>
      </w:pPr>
      <w:r>
        <w:rPr>
          <w:rFonts w:ascii="宋体" w:hAnsi="宋体" w:eastAsia="宋体"/>
          <w:b/>
          <w:sz w:val="21"/>
        </w:rPr>
        <w:t>图11  双层定价优化框架流程图</w:t>
      </w:r>
    </w:p>
    <w:p w14:paraId="23F2257B">
      <w:pPr>
        <w:spacing w:before="160" w:after="60"/>
      </w:pPr>
      <w:r>
        <w:rPr>
          <w:rFonts w:ascii="黑体" w:hAnsi="黑体" w:eastAsia="黑体"/>
          <w:b/>
          <w:sz w:val="32"/>
        </w:rPr>
        <w:t>七、问题四：灵敏度分析</w:t>
      </w:r>
    </w:p>
    <w:p w14:paraId="24086F17">
      <w:pPr>
        <w:spacing w:line="360" w:lineRule="auto"/>
        <w:ind w:firstLine="480"/>
      </w:pPr>
      <w:r>
        <w:rPr>
          <w:rFonts w:ascii="Times New Roman" w:hAnsi="Times New Roman" w:eastAsia="宋体"/>
          <w:sz w:val="24"/>
        </w:rPr>
        <w:t>三组单因素实验（ceteris paribus）：(a)人口加速老化（γ→8%, pS→M→5.5%, pM→D→9.5%）；(b)日管理成本+20%；(c)预算→140万元。</w:t>
      </w:r>
    </w:p>
    <w:p w14:paraId="501295EE">
      <w:pPr>
        <w:spacing w:before="80"/>
        <w:jc w:val="center"/>
      </w:pPr>
      <w:r>
        <w:rPr>
          <w:rFonts w:ascii="宋体" w:hAnsi="宋体" w:eastAsia="宋体"/>
          <w:b/>
          <w:sz w:val="21"/>
        </w:rPr>
        <w:t>表13  灵敏度对比</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1881"/>
        <w:gridCol w:w="1881"/>
        <w:gridCol w:w="1881"/>
        <w:gridCol w:w="1881"/>
        <w:gridCol w:w="1881"/>
      </w:tblGrid>
      <w:tr w14:paraId="6AC5B705">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tcBorders>
              <w:bottom w:val="single" w:color="000000" w:sz="6" w:space="0"/>
            </w:tcBorders>
            <w:vAlign w:val="center"/>
          </w:tcPr>
          <w:p w14:paraId="42981F9F">
            <w:pPr>
              <w:spacing w:before="0" w:after="0"/>
              <w:jc w:val="center"/>
            </w:pPr>
            <w:r>
              <w:rPr>
                <w:rFonts w:ascii="宋体" w:hAnsi="宋体" w:eastAsia="宋体"/>
                <w:b/>
                <w:sz w:val="21"/>
              </w:rPr>
              <w:t>指标</w:t>
            </w:r>
          </w:p>
        </w:tc>
        <w:tc>
          <w:tcPr>
            <w:tcW w:w="1881" w:type="dxa"/>
            <w:tcBorders>
              <w:bottom w:val="single" w:color="000000" w:sz="6" w:space="0"/>
            </w:tcBorders>
            <w:vAlign w:val="center"/>
          </w:tcPr>
          <w:p w14:paraId="6A78E37C">
            <w:pPr>
              <w:spacing w:before="0" w:after="0"/>
              <w:jc w:val="center"/>
            </w:pPr>
            <w:r>
              <w:rPr>
                <w:rFonts w:ascii="宋体" w:hAnsi="宋体" w:eastAsia="宋体"/>
                <w:b/>
                <w:sz w:val="21"/>
              </w:rPr>
              <w:t>基准</w:t>
            </w:r>
          </w:p>
        </w:tc>
        <w:tc>
          <w:tcPr>
            <w:tcW w:w="1881" w:type="dxa"/>
            <w:tcBorders>
              <w:bottom w:val="single" w:color="000000" w:sz="6" w:space="0"/>
            </w:tcBorders>
            <w:vAlign w:val="center"/>
          </w:tcPr>
          <w:p w14:paraId="59324E9C">
            <w:pPr>
              <w:spacing w:before="0" w:after="0"/>
              <w:jc w:val="center"/>
            </w:pPr>
            <w:r>
              <w:rPr>
                <w:rFonts w:ascii="宋体" w:hAnsi="宋体" w:eastAsia="宋体"/>
                <w:b/>
                <w:sz w:val="21"/>
              </w:rPr>
              <w:t>(a)人口</w:t>
            </w:r>
          </w:p>
        </w:tc>
        <w:tc>
          <w:tcPr>
            <w:tcW w:w="1881" w:type="dxa"/>
            <w:tcBorders>
              <w:bottom w:val="single" w:color="000000" w:sz="6" w:space="0"/>
            </w:tcBorders>
            <w:vAlign w:val="center"/>
          </w:tcPr>
          <w:p w14:paraId="45AF47A6">
            <w:pPr>
              <w:spacing w:before="0" w:after="0"/>
              <w:jc w:val="center"/>
            </w:pPr>
            <w:r>
              <w:rPr>
                <w:rFonts w:ascii="宋体" w:hAnsi="宋体" w:eastAsia="宋体"/>
                <w:b/>
                <w:sz w:val="21"/>
              </w:rPr>
              <w:t>(b)成本</w:t>
            </w:r>
          </w:p>
        </w:tc>
        <w:tc>
          <w:tcPr>
            <w:tcW w:w="1881" w:type="dxa"/>
            <w:tcBorders>
              <w:bottom w:val="single" w:color="000000" w:sz="6" w:space="0"/>
            </w:tcBorders>
            <w:vAlign w:val="center"/>
          </w:tcPr>
          <w:p w14:paraId="6D8FE1A5">
            <w:pPr>
              <w:spacing w:before="0" w:after="0"/>
              <w:jc w:val="center"/>
            </w:pPr>
            <w:r>
              <w:rPr>
                <w:rFonts w:ascii="宋体" w:hAnsi="宋体" w:eastAsia="宋体"/>
                <w:b/>
                <w:sz w:val="21"/>
              </w:rPr>
              <w:t>(c)预算</w:t>
            </w:r>
          </w:p>
        </w:tc>
      </w:tr>
      <w:tr w14:paraId="2CE76AFF">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123B1613">
            <w:pPr>
              <w:spacing w:before="0" w:after="0"/>
              <w:jc w:val="center"/>
            </w:pPr>
            <w:r>
              <w:rPr>
                <w:rFonts w:ascii="宋体" w:hAnsi="宋体" w:eastAsia="宋体"/>
                <w:sz w:val="21"/>
              </w:rPr>
              <w:t>站点数</w:t>
            </w:r>
          </w:p>
        </w:tc>
        <w:tc>
          <w:tcPr>
            <w:tcW w:w="1881" w:type="dxa"/>
            <w:vAlign w:val="center"/>
          </w:tcPr>
          <w:p w14:paraId="77A55BD0">
            <w:pPr>
              <w:spacing w:before="0" w:after="0"/>
              <w:jc w:val="center"/>
            </w:pPr>
            <w:r>
              <w:rPr>
                <w:rFonts w:ascii="宋体" w:hAnsi="宋体" w:eastAsia="宋体"/>
                <w:sz w:val="21"/>
              </w:rPr>
              <w:t>5</w:t>
            </w:r>
          </w:p>
        </w:tc>
        <w:tc>
          <w:tcPr>
            <w:tcW w:w="1881" w:type="dxa"/>
            <w:vAlign w:val="center"/>
          </w:tcPr>
          <w:p w14:paraId="0385B102">
            <w:pPr>
              <w:spacing w:before="0" w:after="0"/>
              <w:jc w:val="center"/>
            </w:pPr>
            <w:r>
              <w:rPr>
                <w:rFonts w:ascii="宋体" w:hAnsi="宋体" w:eastAsia="宋体"/>
                <w:sz w:val="21"/>
              </w:rPr>
              <w:t>5</w:t>
            </w:r>
          </w:p>
        </w:tc>
        <w:tc>
          <w:tcPr>
            <w:tcW w:w="1881" w:type="dxa"/>
            <w:vAlign w:val="center"/>
          </w:tcPr>
          <w:p w14:paraId="68A26611">
            <w:pPr>
              <w:spacing w:before="0" w:after="0"/>
              <w:jc w:val="center"/>
            </w:pPr>
            <w:r>
              <w:rPr>
                <w:rFonts w:ascii="宋体" w:hAnsi="宋体" w:eastAsia="宋体"/>
                <w:sz w:val="21"/>
              </w:rPr>
              <w:t>5</w:t>
            </w:r>
          </w:p>
        </w:tc>
        <w:tc>
          <w:tcPr>
            <w:tcW w:w="1881" w:type="dxa"/>
            <w:vAlign w:val="center"/>
          </w:tcPr>
          <w:p w14:paraId="19B9920E">
            <w:pPr>
              <w:spacing w:before="0" w:after="0"/>
              <w:jc w:val="center"/>
            </w:pPr>
            <w:r>
              <w:rPr>
                <w:rFonts w:ascii="宋体" w:hAnsi="宋体" w:eastAsia="宋体"/>
                <w:sz w:val="21"/>
              </w:rPr>
              <w:t>4</w:t>
            </w:r>
          </w:p>
        </w:tc>
      </w:tr>
      <w:tr w14:paraId="5841DA27">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7BC35F40">
            <w:pPr>
              <w:spacing w:before="0" w:after="0"/>
              <w:jc w:val="center"/>
            </w:pPr>
            <w:r>
              <w:rPr>
                <w:rFonts w:ascii="宋体" w:hAnsi="宋体" w:eastAsia="宋体"/>
                <w:sz w:val="21"/>
              </w:rPr>
              <w:t>覆盖率</w:t>
            </w:r>
          </w:p>
        </w:tc>
        <w:tc>
          <w:tcPr>
            <w:tcW w:w="1881" w:type="dxa"/>
            <w:vAlign w:val="center"/>
          </w:tcPr>
          <w:p w14:paraId="0961B775">
            <w:pPr>
              <w:spacing w:before="0" w:after="0"/>
              <w:jc w:val="center"/>
            </w:pPr>
            <w:r>
              <w:rPr>
                <w:rFonts w:ascii="宋体" w:hAnsi="宋体" w:eastAsia="宋体"/>
                <w:sz w:val="21"/>
              </w:rPr>
              <w:t>100%</w:t>
            </w:r>
          </w:p>
        </w:tc>
        <w:tc>
          <w:tcPr>
            <w:tcW w:w="1881" w:type="dxa"/>
            <w:vAlign w:val="center"/>
          </w:tcPr>
          <w:p w14:paraId="10BFFEEC">
            <w:pPr>
              <w:spacing w:before="0" w:after="0"/>
              <w:jc w:val="center"/>
            </w:pPr>
            <w:r>
              <w:rPr>
                <w:rFonts w:ascii="宋体" w:hAnsi="宋体" w:eastAsia="宋体"/>
                <w:sz w:val="21"/>
              </w:rPr>
              <w:t>100%</w:t>
            </w:r>
          </w:p>
        </w:tc>
        <w:tc>
          <w:tcPr>
            <w:tcW w:w="1881" w:type="dxa"/>
            <w:vAlign w:val="center"/>
          </w:tcPr>
          <w:p w14:paraId="5D0A456A">
            <w:pPr>
              <w:spacing w:before="0" w:after="0"/>
              <w:jc w:val="center"/>
            </w:pPr>
            <w:r>
              <w:rPr>
                <w:rFonts w:ascii="宋体" w:hAnsi="宋体" w:eastAsia="宋体"/>
                <w:sz w:val="21"/>
              </w:rPr>
              <w:t>100%</w:t>
            </w:r>
          </w:p>
        </w:tc>
        <w:tc>
          <w:tcPr>
            <w:tcW w:w="1881" w:type="dxa"/>
            <w:vAlign w:val="center"/>
          </w:tcPr>
          <w:p w14:paraId="1347CB4A">
            <w:pPr>
              <w:spacing w:before="0" w:after="0"/>
              <w:jc w:val="center"/>
            </w:pPr>
            <w:r>
              <w:rPr>
                <w:rFonts w:ascii="宋体" w:hAnsi="宋体" w:eastAsia="宋体"/>
                <w:sz w:val="21"/>
              </w:rPr>
              <w:t>100%</w:t>
            </w:r>
          </w:p>
        </w:tc>
      </w:tr>
      <w:tr w14:paraId="1A9ED768">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5E8F8E7F">
            <w:pPr>
              <w:spacing w:before="0" w:after="0"/>
              <w:jc w:val="center"/>
            </w:pPr>
            <w:r>
              <w:rPr>
                <w:rFonts w:ascii="宋体" w:hAnsi="宋体" w:eastAsia="宋体"/>
                <w:sz w:val="21"/>
              </w:rPr>
              <w:t>满意度</w:t>
            </w:r>
          </w:p>
        </w:tc>
        <w:tc>
          <w:tcPr>
            <w:tcW w:w="1881" w:type="dxa"/>
            <w:vAlign w:val="center"/>
          </w:tcPr>
          <w:p w14:paraId="7538717E">
            <w:pPr>
              <w:spacing w:before="0" w:after="0"/>
              <w:jc w:val="center"/>
            </w:pPr>
            <w:r>
              <w:rPr>
                <w:rFonts w:ascii="宋体" w:hAnsi="宋体" w:eastAsia="宋体"/>
                <w:sz w:val="21"/>
              </w:rPr>
              <w:t>0.926</w:t>
            </w:r>
          </w:p>
        </w:tc>
        <w:tc>
          <w:tcPr>
            <w:tcW w:w="1881" w:type="dxa"/>
            <w:vAlign w:val="center"/>
          </w:tcPr>
          <w:p w14:paraId="500A2BFC">
            <w:pPr>
              <w:spacing w:before="0" w:after="0"/>
              <w:jc w:val="center"/>
            </w:pPr>
            <w:r>
              <w:rPr>
                <w:rFonts w:ascii="宋体" w:hAnsi="宋体" w:eastAsia="宋体"/>
                <w:sz w:val="21"/>
              </w:rPr>
              <w:t>0.925</w:t>
            </w:r>
          </w:p>
        </w:tc>
        <w:tc>
          <w:tcPr>
            <w:tcW w:w="1881" w:type="dxa"/>
            <w:vAlign w:val="center"/>
          </w:tcPr>
          <w:p w14:paraId="5E980DC2">
            <w:pPr>
              <w:spacing w:before="0" w:after="0"/>
              <w:jc w:val="center"/>
            </w:pPr>
            <w:r>
              <w:rPr>
                <w:rFonts w:ascii="宋体" w:hAnsi="宋体" w:eastAsia="宋体"/>
                <w:sz w:val="21"/>
              </w:rPr>
              <w:t>0.926</w:t>
            </w:r>
          </w:p>
        </w:tc>
        <w:tc>
          <w:tcPr>
            <w:tcW w:w="1881" w:type="dxa"/>
            <w:vAlign w:val="center"/>
          </w:tcPr>
          <w:p w14:paraId="0FA0462E">
            <w:pPr>
              <w:spacing w:before="0" w:after="0"/>
              <w:jc w:val="center"/>
            </w:pPr>
            <w:r>
              <w:rPr>
                <w:rFonts w:ascii="宋体" w:hAnsi="宋体" w:eastAsia="宋体"/>
                <w:sz w:val="21"/>
              </w:rPr>
              <w:t>0.940</w:t>
            </w:r>
          </w:p>
        </w:tc>
      </w:tr>
      <w:tr w14:paraId="3BB34CBF">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881" w:type="dxa"/>
            <w:vAlign w:val="center"/>
          </w:tcPr>
          <w:p w14:paraId="2452F4CC">
            <w:pPr>
              <w:spacing w:before="0" w:after="0"/>
              <w:jc w:val="center"/>
            </w:pPr>
            <w:r>
              <w:rPr>
                <w:rFonts w:ascii="宋体" w:hAnsi="宋体" w:eastAsia="宋体"/>
                <w:sz w:val="21"/>
              </w:rPr>
              <w:t>预算(万)</w:t>
            </w:r>
          </w:p>
        </w:tc>
        <w:tc>
          <w:tcPr>
            <w:tcW w:w="1881" w:type="dxa"/>
            <w:vAlign w:val="center"/>
          </w:tcPr>
          <w:p w14:paraId="235DAF11">
            <w:pPr>
              <w:spacing w:before="0" w:after="0"/>
              <w:jc w:val="center"/>
            </w:pPr>
            <w:r>
              <w:rPr>
                <w:rFonts w:ascii="宋体" w:hAnsi="宋体" w:eastAsia="宋体"/>
                <w:sz w:val="21"/>
              </w:rPr>
              <w:t>109</w:t>
            </w:r>
          </w:p>
        </w:tc>
        <w:tc>
          <w:tcPr>
            <w:tcW w:w="1881" w:type="dxa"/>
            <w:vAlign w:val="center"/>
          </w:tcPr>
          <w:p w14:paraId="565606E4">
            <w:pPr>
              <w:spacing w:before="0" w:after="0"/>
              <w:jc w:val="center"/>
            </w:pPr>
            <w:r>
              <w:rPr>
                <w:rFonts w:ascii="宋体" w:hAnsi="宋体" w:eastAsia="宋体"/>
                <w:sz w:val="21"/>
              </w:rPr>
              <w:t>109</w:t>
            </w:r>
          </w:p>
        </w:tc>
        <w:tc>
          <w:tcPr>
            <w:tcW w:w="1881" w:type="dxa"/>
            <w:vAlign w:val="center"/>
          </w:tcPr>
          <w:p w14:paraId="766D7BE3">
            <w:pPr>
              <w:spacing w:before="0" w:after="0"/>
              <w:jc w:val="center"/>
            </w:pPr>
            <w:r>
              <w:rPr>
                <w:rFonts w:ascii="宋体" w:hAnsi="宋体" w:eastAsia="宋体"/>
                <w:sz w:val="21"/>
              </w:rPr>
              <w:t>109</w:t>
            </w:r>
          </w:p>
        </w:tc>
        <w:tc>
          <w:tcPr>
            <w:tcW w:w="1881" w:type="dxa"/>
            <w:vAlign w:val="center"/>
          </w:tcPr>
          <w:p w14:paraId="6B09C121">
            <w:pPr>
              <w:spacing w:before="0" w:after="0"/>
              <w:jc w:val="center"/>
            </w:pPr>
            <w:r>
              <w:rPr>
                <w:rFonts w:ascii="宋体" w:hAnsi="宋体" w:eastAsia="宋体"/>
                <w:sz w:val="21"/>
              </w:rPr>
              <w:t>140</w:t>
            </w:r>
          </w:p>
        </w:tc>
      </w:tr>
    </w:tbl>
    <w:p w14:paraId="6BE7DBC6">
      <w:pPr>
        <w:jc w:val="center"/>
      </w:pPr>
      <w:r>
        <w:drawing>
          <wp:inline distT="0" distB="0" distL="114300" distR="114300">
            <wp:extent cx="4206240" cy="2532380"/>
            <wp:effectExtent l="0" t="0" r="1016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206240" cy="2532764"/>
                    </a:xfrm>
                    <a:prstGeom prst="rect">
                      <a:avLst/>
                    </a:prstGeom>
                  </pic:spPr>
                </pic:pic>
              </a:graphicData>
            </a:graphic>
          </wp:inline>
        </w:drawing>
      </w:r>
    </w:p>
    <w:p w14:paraId="4589CE07">
      <w:pPr>
        <w:jc w:val="center"/>
      </w:pPr>
      <w:r>
        <w:rPr>
          <w:rFonts w:ascii="宋体" w:hAnsi="宋体" w:eastAsia="宋体"/>
          <w:b/>
          <w:sz w:val="21"/>
        </w:rPr>
        <w:t>图12  灵敏度分析——平行坐标图（四条折线=四个情景跨越四个指标轴）</w:t>
      </w:r>
    </w:p>
    <w:p w14:paraId="2775FC9F">
      <w:pPr>
        <w:spacing w:line="360" w:lineRule="auto"/>
        <w:ind w:firstLine="480"/>
      </w:pPr>
      <w:r>
        <w:rPr>
          <w:rFonts w:ascii="Times New Roman" w:hAnsi="Times New Roman" w:eastAsia="宋体"/>
          <w:sz w:val="24"/>
        </w:rPr>
        <w:t>图12的平行坐标图将四个情景的四维指标压缩为一张图：Baseline（深蓝）和Demographic Δ（中蓝）几乎重合，表明人口参数变化对系统影响有限；Budget 140（最浅蓝）在Stations轴（增至4站）和Satisfaction轴（升至0.940）出现显著偏移，提示追加预算的边际收益仍然可观。</w:t>
      </w:r>
    </w:p>
    <w:p w14:paraId="5E99B43F">
      <w:pPr>
        <w:spacing w:line="360" w:lineRule="auto"/>
        <w:ind w:firstLine="480"/>
      </w:pPr>
      <w:r>
        <w:rPr>
          <w:rFonts w:ascii="Times New Roman" w:hAnsi="Times New Roman" w:eastAsia="宋体"/>
          <w:sz w:val="24"/>
        </w:rPr>
        <w:t>结果表明：人口加速使α下降0.03~0.05但站点不变，方案弹性好；成本不影响选址；预算增至140万后满意度升至0.940，当前处于边际收益递减拐点。为进一步测试系统容灾边界，追加极端压力情景（预算削减至80万元）：仅能配置4站，覆盖率和满意度分别降至100%和0.905，其中B站和D站利用率为0%，实质由G站和J站承担全部负荷（利用率100%），系统已逼近临界点。该结果揭示了在中等扰动下方案稳健、但在极端预算约束下存在断裂风险的"弹性-脆性"双面特征。推广需考虑土地利用、人力供给及行为偏好。</w:t>
      </w:r>
    </w:p>
    <w:p w14:paraId="5137F621">
      <w:pPr>
        <w:spacing w:before="160" w:after="60"/>
      </w:pPr>
      <w:r>
        <w:rPr>
          <w:rFonts w:ascii="黑体" w:hAnsi="黑体" w:eastAsia="黑体"/>
          <w:b/>
          <w:sz w:val="28"/>
        </w:rPr>
        <w:t>7.2 联合压力情景与Monte Carlo验证</w:t>
      </w:r>
    </w:p>
    <w:p w14:paraId="7DA61E7A">
      <w:pPr>
        <w:spacing w:line="360" w:lineRule="auto"/>
        <w:ind w:firstLine="480"/>
      </w:pPr>
      <w:r>
        <w:rPr>
          <w:rFonts w:ascii="Times New Roman" w:hAnsi="Times New Roman" w:eastAsia="宋体"/>
          <w:sz w:val="24"/>
        </w:rPr>
        <w:t>在单因素敏感性基础上，进一步构建三因素叠加的联合压力情景（表14）：中度（γ=10%,成本×1.1,预算100万）和重度（γ=12%,成本×1.2,预算90万）。重度情景下平均利润率降至-12.9%，系统由盈转亏，揭示了极端冲击下站点运营的财务不可持续性。</w:t>
      </w:r>
    </w:p>
    <w:p w14:paraId="5A37D990">
      <w:pPr>
        <w:spacing w:before="80"/>
        <w:jc w:val="center"/>
      </w:pPr>
      <w:r>
        <w:rPr>
          <w:rFonts w:ascii="宋体" w:hAnsi="宋体" w:eastAsia="宋体"/>
          <w:b/>
          <w:sz w:val="21"/>
        </w:rPr>
        <w:t>表14  联合压力情景结果</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Layout w:type="autofit"/>
        <w:tblCellMar>
          <w:top w:w="0" w:type="dxa"/>
          <w:left w:w="108" w:type="dxa"/>
          <w:bottom w:w="0" w:type="dxa"/>
          <w:right w:w="108" w:type="dxa"/>
        </w:tblCellMar>
      </w:tblPr>
      <w:tblGrid>
        <w:gridCol w:w="1344"/>
        <w:gridCol w:w="1344"/>
        <w:gridCol w:w="1344"/>
        <w:gridCol w:w="1344"/>
        <w:gridCol w:w="1344"/>
        <w:gridCol w:w="1344"/>
        <w:gridCol w:w="1344"/>
      </w:tblGrid>
      <w:tr w14:paraId="2BA15754">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344" w:type="dxa"/>
            <w:tcBorders>
              <w:bottom w:val="single" w:color="000000" w:sz="6" w:space="0"/>
            </w:tcBorders>
            <w:vAlign w:val="center"/>
          </w:tcPr>
          <w:p w14:paraId="18F42CFE">
            <w:pPr>
              <w:spacing w:before="0" w:after="0"/>
              <w:jc w:val="center"/>
            </w:pPr>
            <w:r>
              <w:rPr>
                <w:rFonts w:ascii="宋体" w:hAnsi="宋体" w:eastAsia="宋体"/>
                <w:b/>
                <w:sz w:val="21"/>
              </w:rPr>
              <w:t>情景</w:t>
            </w:r>
          </w:p>
        </w:tc>
        <w:tc>
          <w:tcPr>
            <w:tcW w:w="1344" w:type="dxa"/>
            <w:tcBorders>
              <w:bottom w:val="single" w:color="000000" w:sz="6" w:space="0"/>
            </w:tcBorders>
            <w:vAlign w:val="center"/>
          </w:tcPr>
          <w:p w14:paraId="5A610A5B">
            <w:pPr>
              <w:spacing w:before="0" w:after="0"/>
              <w:jc w:val="center"/>
            </w:pPr>
            <w:r>
              <w:rPr>
                <w:rFonts w:ascii="宋体" w:hAnsi="宋体" w:eastAsia="宋体"/>
                <w:b/>
                <w:sz w:val="21"/>
              </w:rPr>
              <w:t>γ</w:t>
            </w:r>
          </w:p>
        </w:tc>
        <w:tc>
          <w:tcPr>
            <w:tcW w:w="1344" w:type="dxa"/>
            <w:tcBorders>
              <w:bottom w:val="single" w:color="000000" w:sz="6" w:space="0"/>
            </w:tcBorders>
            <w:vAlign w:val="center"/>
          </w:tcPr>
          <w:p w14:paraId="423EC5CF">
            <w:pPr>
              <w:spacing w:before="0" w:after="0"/>
              <w:jc w:val="center"/>
            </w:pPr>
            <w:r>
              <w:rPr>
                <w:rFonts w:ascii="宋体" w:hAnsi="宋体" w:eastAsia="宋体"/>
                <w:b/>
                <w:sz w:val="21"/>
              </w:rPr>
              <w:t>成本系数</w:t>
            </w:r>
          </w:p>
        </w:tc>
        <w:tc>
          <w:tcPr>
            <w:tcW w:w="1344" w:type="dxa"/>
            <w:tcBorders>
              <w:bottom w:val="single" w:color="000000" w:sz="6" w:space="0"/>
            </w:tcBorders>
            <w:vAlign w:val="center"/>
          </w:tcPr>
          <w:p w14:paraId="177EDE10">
            <w:pPr>
              <w:spacing w:before="0" w:after="0"/>
              <w:jc w:val="center"/>
            </w:pPr>
            <w:r>
              <w:rPr>
                <w:rFonts w:ascii="宋体" w:hAnsi="宋体" w:eastAsia="宋体"/>
                <w:b/>
                <w:sz w:val="21"/>
              </w:rPr>
              <w:t>预算(万)</w:t>
            </w:r>
          </w:p>
        </w:tc>
        <w:tc>
          <w:tcPr>
            <w:tcW w:w="1344" w:type="dxa"/>
            <w:tcBorders>
              <w:bottom w:val="single" w:color="000000" w:sz="6" w:space="0"/>
            </w:tcBorders>
            <w:vAlign w:val="center"/>
          </w:tcPr>
          <w:p w14:paraId="19AA6927">
            <w:pPr>
              <w:spacing w:before="0" w:after="0"/>
              <w:jc w:val="center"/>
            </w:pPr>
            <w:r>
              <w:rPr>
                <w:rFonts w:ascii="宋体" w:hAnsi="宋体" w:eastAsia="宋体"/>
                <w:b/>
                <w:sz w:val="21"/>
              </w:rPr>
              <w:t>站点数</w:t>
            </w:r>
          </w:p>
        </w:tc>
        <w:tc>
          <w:tcPr>
            <w:tcW w:w="1344" w:type="dxa"/>
            <w:tcBorders>
              <w:bottom w:val="single" w:color="000000" w:sz="6" w:space="0"/>
            </w:tcBorders>
            <w:vAlign w:val="center"/>
          </w:tcPr>
          <w:p w14:paraId="3F447B4F">
            <w:pPr>
              <w:spacing w:before="0" w:after="0"/>
              <w:jc w:val="center"/>
            </w:pPr>
            <w:r>
              <w:rPr>
                <w:rFonts w:ascii="宋体" w:hAnsi="宋体" w:eastAsia="宋体"/>
                <w:b/>
                <w:sz w:val="21"/>
              </w:rPr>
              <w:t>满意度</w:t>
            </w:r>
          </w:p>
        </w:tc>
        <w:tc>
          <w:tcPr>
            <w:tcW w:w="1344" w:type="dxa"/>
            <w:tcBorders>
              <w:bottom w:val="single" w:color="000000" w:sz="6" w:space="0"/>
            </w:tcBorders>
            <w:vAlign w:val="center"/>
          </w:tcPr>
          <w:p w14:paraId="6C0D35E6">
            <w:pPr>
              <w:spacing w:before="0" w:after="0"/>
              <w:jc w:val="center"/>
            </w:pPr>
            <w:r>
              <w:rPr>
                <w:rFonts w:ascii="宋体" w:hAnsi="宋体" w:eastAsia="宋体"/>
                <w:b/>
                <w:sz w:val="21"/>
              </w:rPr>
              <w:t>平均利润率</w:t>
            </w:r>
          </w:p>
        </w:tc>
      </w:tr>
      <w:tr w14:paraId="5DBA57BF">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344" w:type="dxa"/>
            <w:vAlign w:val="center"/>
          </w:tcPr>
          <w:p w14:paraId="1C679A05">
            <w:pPr>
              <w:spacing w:before="0" w:after="0"/>
              <w:jc w:val="center"/>
            </w:pPr>
            <w:r>
              <w:rPr>
                <w:rFonts w:ascii="宋体" w:hAnsi="宋体" w:eastAsia="宋体"/>
                <w:sz w:val="21"/>
              </w:rPr>
              <w:t>基准</w:t>
            </w:r>
          </w:p>
        </w:tc>
        <w:tc>
          <w:tcPr>
            <w:tcW w:w="1344" w:type="dxa"/>
            <w:vAlign w:val="center"/>
          </w:tcPr>
          <w:p w14:paraId="44802269">
            <w:pPr>
              <w:spacing w:before="0" w:after="0"/>
              <w:jc w:val="center"/>
            </w:pPr>
            <w:r>
              <w:rPr>
                <w:rFonts w:ascii="宋体" w:hAnsi="宋体" w:eastAsia="宋体"/>
                <w:sz w:val="21"/>
              </w:rPr>
              <w:t>7%</w:t>
            </w:r>
          </w:p>
        </w:tc>
        <w:tc>
          <w:tcPr>
            <w:tcW w:w="1344" w:type="dxa"/>
            <w:vAlign w:val="center"/>
          </w:tcPr>
          <w:p w14:paraId="4327A889">
            <w:pPr>
              <w:spacing w:before="0" w:after="0"/>
              <w:jc w:val="center"/>
            </w:pPr>
            <w:r>
              <w:rPr>
                <w:rFonts w:ascii="宋体" w:hAnsi="宋体" w:eastAsia="宋体"/>
                <w:sz w:val="21"/>
              </w:rPr>
              <w:t>×1.0</w:t>
            </w:r>
          </w:p>
        </w:tc>
        <w:tc>
          <w:tcPr>
            <w:tcW w:w="1344" w:type="dxa"/>
            <w:vAlign w:val="center"/>
          </w:tcPr>
          <w:p w14:paraId="64D0D6FF">
            <w:pPr>
              <w:spacing w:before="0" w:after="0"/>
              <w:jc w:val="center"/>
            </w:pPr>
            <w:r>
              <w:rPr>
                <w:rFonts w:ascii="宋体" w:hAnsi="宋体" w:eastAsia="宋体"/>
                <w:sz w:val="21"/>
              </w:rPr>
              <w:t>109</w:t>
            </w:r>
          </w:p>
        </w:tc>
        <w:tc>
          <w:tcPr>
            <w:tcW w:w="1344" w:type="dxa"/>
            <w:vAlign w:val="center"/>
          </w:tcPr>
          <w:p w14:paraId="3954DD3C">
            <w:pPr>
              <w:spacing w:before="0" w:after="0"/>
              <w:jc w:val="center"/>
            </w:pPr>
            <w:r>
              <w:rPr>
                <w:rFonts w:ascii="宋体" w:hAnsi="宋体" w:eastAsia="宋体"/>
                <w:sz w:val="21"/>
              </w:rPr>
              <w:t>5</w:t>
            </w:r>
          </w:p>
        </w:tc>
        <w:tc>
          <w:tcPr>
            <w:tcW w:w="1344" w:type="dxa"/>
            <w:vAlign w:val="center"/>
          </w:tcPr>
          <w:p w14:paraId="5236ADB8">
            <w:pPr>
              <w:spacing w:before="0" w:after="0"/>
              <w:jc w:val="center"/>
            </w:pPr>
            <w:r>
              <w:rPr>
                <w:rFonts w:ascii="宋体" w:hAnsi="宋体" w:eastAsia="宋体"/>
                <w:sz w:val="21"/>
              </w:rPr>
              <w:t>0.926</w:t>
            </w:r>
          </w:p>
        </w:tc>
        <w:tc>
          <w:tcPr>
            <w:tcW w:w="1344" w:type="dxa"/>
            <w:vAlign w:val="center"/>
          </w:tcPr>
          <w:p w14:paraId="2D880337">
            <w:pPr>
              <w:spacing w:before="0" w:after="0"/>
              <w:jc w:val="center"/>
            </w:pPr>
            <w:r>
              <w:rPr>
                <w:rFonts w:ascii="宋体" w:hAnsi="宋体" w:eastAsia="宋体"/>
                <w:sz w:val="21"/>
              </w:rPr>
              <w:t>13.4%</w:t>
            </w:r>
          </w:p>
        </w:tc>
      </w:tr>
      <w:tr w14:paraId="1D266E7C">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344" w:type="dxa"/>
            <w:vAlign w:val="center"/>
          </w:tcPr>
          <w:p w14:paraId="5120BCD6">
            <w:pPr>
              <w:spacing w:before="0" w:after="0"/>
              <w:jc w:val="center"/>
            </w:pPr>
            <w:r>
              <w:rPr>
                <w:rFonts w:ascii="宋体" w:hAnsi="宋体" w:eastAsia="宋体"/>
                <w:sz w:val="21"/>
              </w:rPr>
              <w:t>中度</w:t>
            </w:r>
          </w:p>
        </w:tc>
        <w:tc>
          <w:tcPr>
            <w:tcW w:w="1344" w:type="dxa"/>
            <w:vAlign w:val="center"/>
          </w:tcPr>
          <w:p w14:paraId="28DD57DB">
            <w:pPr>
              <w:spacing w:before="0" w:after="0"/>
              <w:jc w:val="center"/>
            </w:pPr>
            <w:r>
              <w:rPr>
                <w:rFonts w:ascii="宋体" w:hAnsi="宋体" w:eastAsia="宋体"/>
                <w:sz w:val="21"/>
              </w:rPr>
              <w:t>10%</w:t>
            </w:r>
          </w:p>
        </w:tc>
        <w:tc>
          <w:tcPr>
            <w:tcW w:w="1344" w:type="dxa"/>
            <w:vAlign w:val="center"/>
          </w:tcPr>
          <w:p w14:paraId="515A6736">
            <w:pPr>
              <w:spacing w:before="0" w:after="0"/>
              <w:jc w:val="center"/>
            </w:pPr>
            <w:r>
              <w:rPr>
                <w:rFonts w:ascii="宋体" w:hAnsi="宋体" w:eastAsia="宋体"/>
                <w:sz w:val="21"/>
              </w:rPr>
              <w:t>×1.1</w:t>
            </w:r>
          </w:p>
        </w:tc>
        <w:tc>
          <w:tcPr>
            <w:tcW w:w="1344" w:type="dxa"/>
            <w:vAlign w:val="center"/>
          </w:tcPr>
          <w:p w14:paraId="6228BEED">
            <w:pPr>
              <w:spacing w:before="0" w:after="0"/>
              <w:jc w:val="center"/>
            </w:pPr>
            <w:r>
              <w:rPr>
                <w:rFonts w:ascii="宋体" w:hAnsi="宋体" w:eastAsia="宋体"/>
                <w:sz w:val="21"/>
              </w:rPr>
              <w:t>100</w:t>
            </w:r>
          </w:p>
        </w:tc>
        <w:tc>
          <w:tcPr>
            <w:tcW w:w="1344" w:type="dxa"/>
            <w:vAlign w:val="center"/>
          </w:tcPr>
          <w:p w14:paraId="6CD5F028">
            <w:pPr>
              <w:spacing w:before="0" w:after="0"/>
              <w:jc w:val="center"/>
            </w:pPr>
            <w:r>
              <w:rPr>
                <w:rFonts w:ascii="宋体" w:hAnsi="宋体" w:eastAsia="宋体"/>
                <w:sz w:val="21"/>
              </w:rPr>
              <w:t>4</w:t>
            </w:r>
          </w:p>
        </w:tc>
        <w:tc>
          <w:tcPr>
            <w:tcW w:w="1344" w:type="dxa"/>
            <w:vAlign w:val="center"/>
          </w:tcPr>
          <w:p w14:paraId="369F7BAF">
            <w:pPr>
              <w:spacing w:before="0" w:after="0"/>
              <w:jc w:val="center"/>
            </w:pPr>
            <w:r>
              <w:rPr>
                <w:rFonts w:ascii="宋体" w:hAnsi="宋体" w:eastAsia="宋体"/>
                <w:sz w:val="21"/>
              </w:rPr>
              <w:t>0.921</w:t>
            </w:r>
          </w:p>
        </w:tc>
        <w:tc>
          <w:tcPr>
            <w:tcW w:w="1344" w:type="dxa"/>
            <w:vAlign w:val="center"/>
          </w:tcPr>
          <w:p w14:paraId="18F6B11E">
            <w:pPr>
              <w:spacing w:before="0" w:after="0"/>
              <w:jc w:val="center"/>
            </w:pPr>
            <w:r>
              <w:rPr>
                <w:rFonts w:ascii="宋体" w:hAnsi="宋体" w:eastAsia="宋体"/>
                <w:sz w:val="21"/>
              </w:rPr>
              <w:t>11.8%</w:t>
            </w:r>
          </w:p>
        </w:tc>
      </w:tr>
      <w:tr w14:paraId="236F8AF7">
        <w:tblPrEx>
          <w:tblBorders>
            <w:top w:val="single" w:color="000000" w:sz="12" w:space="0"/>
            <w:left w:val="none" w:color="000000" w:sz="0" w:space="0"/>
            <w:bottom w:val="single" w:color="000000" w:sz="12" w:space="0"/>
            <w:right w:val="none" w:color="000000" w:sz="0" w:space="0"/>
            <w:insideH w:val="none" w:color="000000" w:sz="0" w:space="0"/>
            <w:insideV w:val="none" w:color="auto" w:sz="0" w:space="0"/>
          </w:tblBorders>
          <w:tblCellMar>
            <w:top w:w="0" w:type="dxa"/>
            <w:left w:w="108" w:type="dxa"/>
            <w:bottom w:w="0" w:type="dxa"/>
            <w:right w:w="108" w:type="dxa"/>
          </w:tblCellMar>
        </w:tblPrEx>
        <w:trPr>
          <w:jc w:val="center"/>
        </w:trPr>
        <w:tc>
          <w:tcPr>
            <w:tcW w:w="1344" w:type="dxa"/>
            <w:vAlign w:val="center"/>
          </w:tcPr>
          <w:p w14:paraId="1416739F">
            <w:pPr>
              <w:spacing w:before="0" w:after="0"/>
              <w:jc w:val="center"/>
            </w:pPr>
            <w:r>
              <w:rPr>
                <w:rFonts w:ascii="宋体" w:hAnsi="宋体" w:eastAsia="宋体"/>
                <w:sz w:val="21"/>
              </w:rPr>
              <w:t>重度</w:t>
            </w:r>
          </w:p>
        </w:tc>
        <w:tc>
          <w:tcPr>
            <w:tcW w:w="1344" w:type="dxa"/>
            <w:vAlign w:val="center"/>
          </w:tcPr>
          <w:p w14:paraId="0ED18B07">
            <w:pPr>
              <w:spacing w:before="0" w:after="0"/>
              <w:jc w:val="center"/>
            </w:pPr>
            <w:r>
              <w:rPr>
                <w:rFonts w:ascii="宋体" w:hAnsi="宋体" w:eastAsia="宋体"/>
                <w:sz w:val="21"/>
              </w:rPr>
              <w:t>12%</w:t>
            </w:r>
          </w:p>
        </w:tc>
        <w:tc>
          <w:tcPr>
            <w:tcW w:w="1344" w:type="dxa"/>
            <w:vAlign w:val="center"/>
          </w:tcPr>
          <w:p w14:paraId="61EF207A">
            <w:pPr>
              <w:spacing w:before="0" w:after="0"/>
              <w:jc w:val="center"/>
            </w:pPr>
            <w:r>
              <w:rPr>
                <w:rFonts w:ascii="宋体" w:hAnsi="宋体" w:eastAsia="宋体"/>
                <w:sz w:val="21"/>
              </w:rPr>
              <w:t>×1.2</w:t>
            </w:r>
          </w:p>
        </w:tc>
        <w:tc>
          <w:tcPr>
            <w:tcW w:w="1344" w:type="dxa"/>
            <w:vAlign w:val="center"/>
          </w:tcPr>
          <w:p w14:paraId="7C8AFFE2">
            <w:pPr>
              <w:spacing w:before="0" w:after="0"/>
              <w:jc w:val="center"/>
            </w:pPr>
            <w:r>
              <w:rPr>
                <w:rFonts w:ascii="宋体" w:hAnsi="宋体" w:eastAsia="宋体"/>
                <w:sz w:val="21"/>
              </w:rPr>
              <w:t>90</w:t>
            </w:r>
          </w:p>
        </w:tc>
        <w:tc>
          <w:tcPr>
            <w:tcW w:w="1344" w:type="dxa"/>
            <w:vAlign w:val="center"/>
          </w:tcPr>
          <w:p w14:paraId="3DB6CD9A">
            <w:pPr>
              <w:spacing w:before="0" w:after="0"/>
              <w:jc w:val="center"/>
            </w:pPr>
            <w:r>
              <w:rPr>
                <w:rFonts w:ascii="宋体" w:hAnsi="宋体" w:eastAsia="宋体"/>
                <w:sz w:val="21"/>
              </w:rPr>
              <w:t>4</w:t>
            </w:r>
          </w:p>
        </w:tc>
        <w:tc>
          <w:tcPr>
            <w:tcW w:w="1344" w:type="dxa"/>
            <w:vAlign w:val="center"/>
          </w:tcPr>
          <w:p w14:paraId="057630CF">
            <w:pPr>
              <w:spacing w:before="0" w:after="0"/>
              <w:jc w:val="center"/>
            </w:pPr>
            <w:r>
              <w:rPr>
                <w:rFonts w:ascii="宋体" w:hAnsi="宋体" w:eastAsia="宋体"/>
                <w:sz w:val="21"/>
              </w:rPr>
              <w:t>0.915</w:t>
            </w:r>
          </w:p>
        </w:tc>
        <w:tc>
          <w:tcPr>
            <w:tcW w:w="1344" w:type="dxa"/>
            <w:vAlign w:val="center"/>
          </w:tcPr>
          <w:p w14:paraId="1BEC5D78">
            <w:pPr>
              <w:spacing w:before="0" w:after="0"/>
              <w:jc w:val="center"/>
            </w:pPr>
            <w:r>
              <w:rPr>
                <w:rFonts w:ascii="宋体" w:hAnsi="宋体" w:eastAsia="宋体"/>
                <w:sz w:val="21"/>
              </w:rPr>
              <w:t>-12.9%</w:t>
            </w:r>
          </w:p>
        </w:tc>
      </w:tr>
    </w:tbl>
    <w:p w14:paraId="08E0F48A">
      <w:pPr>
        <w:spacing w:line="360" w:lineRule="auto"/>
        <w:ind w:firstLine="480"/>
      </w:pPr>
      <w:r>
        <w:rPr>
          <w:rFonts w:ascii="Times New Roman" w:hAnsi="Times New Roman" w:eastAsia="宋体"/>
          <w:sz w:val="24"/>
        </w:rPr>
        <w:t>进一步对5个关键参数同时施加±10%高斯扰动，进行100次Monte Carlo模拟。在固定最优站点配置下，参数扰动主要通过需求量影响利润率，对满意度终值影响极小（标准差&lt;10⁻³）。100次模拟中最优方案{A,C,G,I,J}出现频率100%，证明选址方案对参数联合扰动具有极强的结构稳定性。该结论与单因素灵敏度分析一致，共同支撑了模型的鲁棒性论断。</w:t>
      </w:r>
    </w:p>
    <w:p w14:paraId="1061A911">
      <w:pPr>
        <w:spacing w:before="160" w:after="60"/>
      </w:pPr>
      <w:r>
        <w:rPr>
          <w:rFonts w:ascii="黑体" w:hAnsi="黑体" w:eastAsia="黑体"/>
          <w:b/>
          <w:sz w:val="32"/>
        </w:rPr>
        <w:t>八、模型局限与未来展望</w:t>
      </w:r>
    </w:p>
    <w:p w14:paraId="3C81EF25">
      <w:pPr>
        <w:spacing w:line="360" w:lineRule="auto"/>
        <w:ind w:firstLine="480"/>
      </w:pPr>
      <w:r>
        <w:rPr>
          <w:rFonts w:ascii="Times New Roman" w:hAnsi="Times New Roman" w:eastAsia="宋体"/>
          <w:sz w:val="24"/>
        </w:rPr>
        <w:t>本文模型在求解嵌入式社区养老服务站建设问题上取得了较为完整的结论，但仍存在以下局限，为后续研究指明方向：</w:t>
      </w:r>
    </w:p>
    <w:p w14:paraId="7CAF7A10">
      <w:pPr>
        <w:spacing w:line="360" w:lineRule="auto"/>
        <w:ind w:firstLine="480"/>
      </w:pPr>
      <w:r>
        <w:rPr>
          <w:rFonts w:ascii="Times New Roman" w:hAnsi="Times New Roman" w:eastAsia="宋体"/>
          <w:sz w:val="24"/>
        </w:rPr>
        <w:t>(1) 需求函数线性假设。本文采用消费缩放因子α线性折算消费上限对付费需求的影响，未刻画收入弹性的非线性特征。低收入老人对必需服务的需求弹性可能显著低于建模值，未来可引入Tobit截断模型或Heckman两阶段模型进一步精细化。</w:t>
      </w:r>
    </w:p>
    <w:p w14:paraId="722AE9DC">
      <w:pPr>
        <w:spacing w:line="360" w:lineRule="auto"/>
        <w:ind w:firstLine="480"/>
      </w:pPr>
      <w:r>
        <w:rPr>
          <w:rFonts w:ascii="Times New Roman" w:hAnsi="Times New Roman" w:eastAsia="宋体"/>
          <w:sz w:val="24"/>
        </w:rPr>
        <w:t>(2) 静态选址决策。本文假设5个站点在5年规划期内位置不变。现实中可分阶段建设——例如第1-2年建3站、第3-4年扩2站，可显著降低早期资金压力。引入动态规划或多阶段随机规划是自然的扩展方向。</w:t>
      </w:r>
    </w:p>
    <w:p w14:paraId="236D3F4A">
      <w:pPr>
        <w:spacing w:line="360" w:lineRule="auto"/>
        <w:ind w:firstLine="480"/>
      </w:pPr>
      <w:r>
        <w:rPr>
          <w:rFonts w:ascii="Times New Roman" w:hAnsi="Times New Roman" w:eastAsia="宋体"/>
          <w:sz w:val="24"/>
        </w:rPr>
        <w:t>(3) 服务质量同质假设。所有站点服务质量被假定相同，但运营经验、人员配置、设备水平的差异客观存在。结合AHP-TOPSIS多准则决策方法可进一步刻画质量异质性，使满意度模型更贴近现实。</w:t>
      </w:r>
    </w:p>
    <w:p w14:paraId="38E4C909">
      <w:pPr>
        <w:spacing w:line="360" w:lineRule="auto"/>
        <w:ind w:firstLine="480"/>
      </w:pPr>
      <w:r>
        <w:rPr>
          <w:rFonts w:ascii="Times New Roman" w:hAnsi="Times New Roman" w:eastAsia="宋体"/>
          <w:sz w:val="24"/>
        </w:rPr>
        <w:t>(4) 跨站点协作未建模。相邻站点实际可共享应急资源与人员调度，本文按独立站点建模略显保守。引入网络流模型或合作博弈框架可挖掘站际协作的额外效率空间。</w:t>
      </w:r>
    </w:p>
    <w:p w14:paraId="7A8D8EDD">
      <w:pPr>
        <w:spacing w:line="360" w:lineRule="auto"/>
        <w:ind w:firstLine="480"/>
      </w:pPr>
      <w:r>
        <w:rPr>
          <w:rFonts w:ascii="Times New Roman" w:hAnsi="Times New Roman" w:eastAsia="宋体"/>
          <w:sz w:val="24"/>
        </w:rPr>
        <w:t>(5) 单一城市数据局限。本文基于单一城市的10小区数据建模，结论的普适性有待在更多城市样本上验证。建议将本文方法论框架迁移至不同人口结构、收入分布、地理形态的城市进行对比研究。</w:t>
      </w:r>
    </w:p>
    <w:p w14:paraId="31C0087E">
      <w:pPr>
        <w:spacing w:before="160" w:after="60"/>
      </w:pPr>
      <w:r>
        <w:rPr>
          <w:rFonts w:ascii="黑体" w:hAnsi="黑体" w:eastAsia="黑体"/>
          <w:b/>
          <w:sz w:val="32"/>
        </w:rPr>
        <w:t>九、模型评价与推广</w:t>
      </w:r>
    </w:p>
    <w:p w14:paraId="581A20EB">
      <w:pPr>
        <w:spacing w:before="160" w:after="60"/>
      </w:pPr>
      <w:r>
        <w:rPr>
          <w:rFonts w:ascii="黑体" w:hAnsi="黑体" w:eastAsia="黑体"/>
          <w:b/>
          <w:sz w:val="28"/>
        </w:rPr>
        <w:t>9.1 模型优点</w:t>
      </w:r>
    </w:p>
    <w:p w14:paraId="59D294A9">
      <w:pPr>
        <w:spacing w:line="360" w:lineRule="auto"/>
        <w:ind w:firstLine="480"/>
      </w:pPr>
      <w:r>
        <w:rPr>
          <w:rFonts w:ascii="Times New Roman" w:hAnsi="Times New Roman" w:eastAsia="宋体"/>
          <w:sz w:val="24"/>
        </w:rPr>
        <w:t>(1) 多阶段参数传递一致性：四个子模型间的参数严格按时序传递，前序输出即后序输入，避免多模型独立建模的口径割裂。(2) 满意度函数精确刻画：针对S₂拥挤度满意度的离散阶跃特性，采用阻尼不动点迭代替代直接求导，有效规避非凸非光滑目标的局部最优陷阱。(3) 公平性多维设计：在效率之外引入Gini系数+合规率+可负担性三维公平性指标，兼顾公共服务的伦理属性。(4) 经济模型财务规范性：利润率分母严格采用固定+变动全成本口径，修正前部分站点利润率虚高达数十倍。(5) 卖方市场失效的理论发现：通过数学推导证明价格工具在容量受限下必然失效，并由此推导出扩容优先于定价的政策结论。</w:t>
      </w:r>
    </w:p>
    <w:p w14:paraId="166D6AEA">
      <w:pPr>
        <w:spacing w:before="160" w:after="60"/>
      </w:pPr>
      <w:r>
        <w:rPr>
          <w:rFonts w:ascii="黑体" w:hAnsi="黑体" w:eastAsia="黑体"/>
          <w:b/>
          <w:sz w:val="28"/>
        </w:rPr>
        <w:t>9.2 模型推广</w:t>
      </w:r>
    </w:p>
    <w:p w14:paraId="495EE1CF">
      <w:pPr>
        <w:spacing w:line="360" w:lineRule="auto"/>
        <w:ind w:firstLine="480"/>
      </w:pPr>
      <w:r>
        <w:rPr>
          <w:rFonts w:ascii="Times New Roman" w:hAnsi="Times New Roman" w:eastAsia="宋体"/>
          <w:sz w:val="24"/>
        </w:rPr>
        <w:t>本文方法论框架可直接迁移至同类覆盖-容量-定价三约束的公共服务设施规划问题：(1) 社区医疗服务站规划：将三类老人替换为健康/慢病/重症居民三类，六类养老服务替换为全科诊疗/慢病管理/健康监测等；(2) 中小学校选址布局：将人口Markov演化替换为学龄儿童入学率预测，满意度维度调整为距离/班级规模/师资水平；(3) 充电桩配置：将日均人次替换为日均充电次数，卖方市场失效理论可解释高峰时段单纯降价无法缓解充电拥堵的困境。更广泛地，本文揭示的容量约束下价格工具失效机理，对所有具有容量上限的公共服务定价问题均有方法论参考价值。</w:t>
      </w:r>
    </w:p>
    <w:p w14:paraId="3B485769">
      <w:pPr>
        <w:spacing w:before="160" w:after="60"/>
      </w:pPr>
      <w:r>
        <w:rPr>
          <w:rFonts w:ascii="黑体" w:hAnsi="黑体" w:eastAsia="黑体"/>
          <w:b/>
          <w:sz w:val="32"/>
        </w:rPr>
        <w:t>十、结论与政策建议</w:t>
      </w:r>
    </w:p>
    <w:p w14:paraId="6ECBA397">
      <w:pPr>
        <w:spacing w:line="360" w:lineRule="auto"/>
        <w:ind w:firstLine="480"/>
      </w:pPr>
      <w:r>
        <w:rPr>
          <w:rFonts w:ascii="Times New Roman" w:hAnsi="Times New Roman" w:eastAsia="宋体"/>
          <w:sz w:val="24"/>
        </w:rPr>
        <w:t>本文构建了"人口预测—选址优化—定价补贴—灵敏度分析"四阶段递推模型体系，针对嵌入式社区养老服务站的规划与运营问题进行了系统性定量分析。核心发现如下：</w:t>
      </w:r>
    </w:p>
    <w:p w14:paraId="3A69B23E">
      <w:pPr>
        <w:spacing w:line="360" w:lineRule="auto"/>
        <w:ind w:firstLine="480"/>
      </w:pPr>
      <w:r>
        <w:rPr>
          <w:rFonts w:ascii="Times New Roman" w:hAnsi="Times New Roman" w:eastAsia="宋体"/>
          <w:sz w:val="24"/>
        </w:rPr>
        <w:t>第一，容量约束是嵌入式社区养老的主导矛盾。5站方案实现地理覆盖率100%，但服务满足率仅85.2%（日均需求8214人次 vs 容量7000人次），14.8%的供需缺口是C站和I站满负荷运行的根本原因。地理覆盖易得，服务容量难扩——这一发现为养老服务设施的规模决策提供了定量边界。</w:t>
      </w:r>
    </w:p>
    <w:p w14:paraId="4FB33C62">
      <w:pPr>
        <w:spacing w:line="360" w:lineRule="auto"/>
        <w:ind w:firstLine="480"/>
      </w:pPr>
      <w:r>
        <w:rPr>
          <w:rFonts w:ascii="Times New Roman" w:hAnsi="Times New Roman" w:eastAsia="宋体"/>
          <w:sz w:val="24"/>
        </w:rPr>
        <w:t>第二，卖方市场下单一价格工具失效。扩展定价至{0.8,0.9,1.0}×基准价后最优解仍为全基准价——降价无法刺激增量需求（容量已饱和）却侵蚀利润。5站利润率均值13.4%全部突破8%政策红线，年超额利润约346万元。这一"结构性违约"揭示了"保本微利"目标与容量短缺现实之间的不匹配。</w:t>
      </w:r>
    </w:p>
    <w:p w14:paraId="406D8E9C">
      <w:pPr>
        <w:spacing w:line="360" w:lineRule="auto"/>
        <w:ind w:firstLine="480"/>
      </w:pPr>
      <w:r>
        <w:rPr>
          <w:rFonts w:ascii="Times New Roman" w:hAnsi="Times New Roman" w:eastAsia="宋体"/>
          <w:sz w:val="24"/>
        </w:rPr>
        <w:t>第三，政策杠杆需组合化设计。补贴维持边缘站点生存（G站无补贴即亏损5.4%），超额利润回收机制可形成站际交叉补贴的财政闭环，扩容（预算增至140万元）可使满意度升至0.940并推动利润率自然回归区间。建议采用双层机制：短期以专项基金回收超额利润，长期通过设施扩容消除供需缺口。</w:t>
      </w:r>
    </w:p>
    <w:p w14:paraId="795F5B5B">
      <w:pPr>
        <w:spacing w:line="360" w:lineRule="auto"/>
        <w:ind w:firstLine="480"/>
      </w:pPr>
      <w:r>
        <w:rPr>
          <w:rFonts w:ascii="Times New Roman" w:hAnsi="Times New Roman" w:eastAsia="宋体"/>
          <w:sz w:val="24"/>
        </w:rPr>
        <w:t>第四，系统呈"弹性-脆性"双面特征。中等参数扰动下方案稳健（满意度方差0.015），10小区满意度Gini系数0.022表明空间公平性有制度保障；但预算削减至80万元时系统即逼近临界点，容量脆弱性不容忽视。</w:t>
      </w:r>
    </w:p>
    <w:p w14:paraId="0CC061E5">
      <w:pPr>
        <w:jc w:val="center"/>
      </w:pPr>
      <w:r>
        <w:drawing>
          <wp:inline distT="0" distB="0" distL="114300" distR="114300">
            <wp:extent cx="4206240" cy="1831340"/>
            <wp:effectExtent l="0" t="0" r="1016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206240" cy="1831434"/>
                    </a:xfrm>
                    <a:prstGeom prst="rect">
                      <a:avLst/>
                    </a:prstGeom>
                  </pic:spPr>
                </pic:pic>
              </a:graphicData>
            </a:graphic>
          </wp:inline>
        </w:drawing>
      </w:r>
    </w:p>
    <w:p w14:paraId="3250F905">
      <w:pPr>
        <w:jc w:val="center"/>
      </w:pPr>
      <w:r>
        <w:rPr>
          <w:rFonts w:ascii="宋体" w:hAnsi="宋体" w:eastAsia="宋体"/>
          <w:b/>
          <w:sz w:val="21"/>
        </w:rPr>
        <w:t>图13  人口结构逐年演变——环形图（失能占比从9.8%升至15.3%）</w:t>
      </w:r>
    </w:p>
    <w:p w14:paraId="30650E9A">
      <w:pPr>
        <w:spacing w:line="360" w:lineRule="auto"/>
        <w:ind w:firstLine="480"/>
      </w:pPr>
      <w:r>
        <w:rPr>
          <w:rFonts w:ascii="Times New Roman" w:hAnsi="Times New Roman" w:eastAsia="宋体"/>
          <w:sz w:val="24"/>
        </w:rPr>
        <w:t>图13以五年环形图序列展示人口结构变迁：红色扇形（失能）逐年扩张，蓝色扇形（自理）逐渐收窄。Year 1失能占比仅9.8%，至Year 5已达15.3%，增长56%。这一结构变化对养老服务资源配置的启示是：设施规划须预留充分的专业护理容量增长空间。</w:t>
      </w:r>
    </w:p>
    <w:p w14:paraId="75FC04FC">
      <w:pPr>
        <w:jc w:val="center"/>
      </w:pPr>
      <w:r>
        <w:drawing>
          <wp:inline distT="0" distB="0" distL="114300" distR="114300">
            <wp:extent cx="4206240" cy="3147060"/>
            <wp:effectExtent l="0" t="0" r="1016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206240" cy="3147623"/>
                    </a:xfrm>
                    <a:prstGeom prst="rect">
                      <a:avLst/>
                    </a:prstGeom>
                  </pic:spPr>
                </pic:pic>
              </a:graphicData>
            </a:graphic>
          </wp:inline>
        </w:drawing>
      </w:r>
    </w:p>
    <w:p w14:paraId="78DC02F3">
      <w:pPr>
        <w:jc w:val="center"/>
      </w:pPr>
      <w:r>
        <w:rPr>
          <w:rFonts w:ascii="宋体" w:hAnsi="宋体" w:eastAsia="宋体"/>
          <w:b/>
          <w:sz w:val="21"/>
        </w:rPr>
        <w:t>图14  α因子与社区收入的关系（三类老人分层散点，虚线为线性拟合）</w:t>
      </w:r>
    </w:p>
    <w:p w14:paraId="0756332E">
      <w:pPr>
        <w:spacing w:line="360" w:lineRule="auto"/>
        <w:ind w:firstLine="480"/>
      </w:pPr>
      <w:r>
        <w:rPr>
          <w:rFonts w:ascii="Times New Roman" w:hAnsi="Times New Roman" w:eastAsia="宋体"/>
          <w:sz w:val="24"/>
        </w:rPr>
        <w:t>图14揭示了α的核心驱动因素是社区收入：自理老人α恒为1.0（蓝点），不受收入影响；半失能（橙方）和失能（红菱）α与收入呈显著正相关。F区（2700元）三类老人均在各自类别中α最低，提示低收入社区是消费约束的"重灾区"，补贴政策应优先倾斜。</w:t>
      </w:r>
    </w:p>
    <w:p w14:paraId="400A0593">
      <w:pPr>
        <w:jc w:val="center"/>
      </w:pPr>
      <w:r>
        <w:drawing>
          <wp:inline distT="0" distB="0" distL="114300" distR="114300">
            <wp:extent cx="4206240" cy="2626995"/>
            <wp:effectExtent l="0" t="0" r="1016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206240" cy="2627216"/>
                    </a:xfrm>
                    <a:prstGeom prst="rect">
                      <a:avLst/>
                    </a:prstGeom>
                  </pic:spPr>
                </pic:pic>
              </a:graphicData>
            </a:graphic>
          </wp:inline>
        </w:drawing>
      </w:r>
    </w:p>
    <w:p w14:paraId="68001576">
      <w:pPr>
        <w:jc w:val="center"/>
      </w:pPr>
      <w:r>
        <w:rPr>
          <w:rFonts w:ascii="宋体" w:hAnsi="宋体" w:eastAsia="宋体"/>
          <w:b/>
          <w:sz w:val="21"/>
        </w:rPr>
        <w:t>图15  服务需求结构分布（助餐46.9%+日间照料30.7%=77.6%）</w:t>
      </w:r>
    </w:p>
    <w:p w14:paraId="498F3246">
      <w:pPr>
        <w:spacing w:line="360" w:lineRule="auto"/>
        <w:ind w:firstLine="480"/>
      </w:pPr>
      <w:r>
        <w:rPr>
          <w:rFonts w:ascii="Times New Roman" w:hAnsi="Times New Roman" w:eastAsia="宋体"/>
          <w:sz w:val="24"/>
        </w:rPr>
        <w:t>图15的水平柱状图显示：助餐和日间照料合计占服务需求的77.6%，是养老服务的主体内容。上门护理（8.8%）和康复理疗（8.6%）构成第二梯队，而助浴（2.9%）和紧急救助（2.2%）虽占比小但单次成本高（紧急救助净亏8元/次），对站点利润率的影响不可忽视。</w:t>
      </w:r>
    </w:p>
    <w:p w14:paraId="2F8A1D5F">
      <w:pPr>
        <w:jc w:val="center"/>
      </w:pPr>
      <w:r>
        <w:drawing>
          <wp:inline distT="0" distB="0" distL="114300" distR="114300">
            <wp:extent cx="4206240" cy="2347595"/>
            <wp:effectExtent l="0" t="0" r="1016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206240" cy="2347669"/>
                    </a:xfrm>
                    <a:prstGeom prst="rect">
                      <a:avLst/>
                    </a:prstGeom>
                  </pic:spPr>
                </pic:pic>
              </a:graphicData>
            </a:graphic>
          </wp:inline>
        </w:drawing>
      </w:r>
    </w:p>
    <w:p w14:paraId="2678D037">
      <w:pPr>
        <w:jc w:val="center"/>
      </w:pPr>
      <w:r>
        <w:rPr>
          <w:rFonts w:ascii="宋体" w:hAnsi="宋体" w:eastAsia="宋体"/>
          <w:b/>
          <w:sz w:val="21"/>
        </w:rPr>
        <w:t>图16  社区养老服务全流程示意图</w:t>
      </w:r>
    </w:p>
    <w:p w14:paraId="5B80256D">
      <w:pPr>
        <w:spacing w:before="160" w:after="60"/>
        <w:rPr>
          <w:rFonts w:ascii="黑体" w:hAnsi="黑体" w:eastAsia="黑体"/>
          <w:b/>
          <w:sz w:val="32"/>
        </w:rPr>
      </w:pPr>
    </w:p>
    <w:p w14:paraId="7F888ACA">
      <w:pPr>
        <w:spacing w:before="160" w:after="60"/>
        <w:rPr>
          <w:rFonts w:ascii="黑体" w:hAnsi="黑体" w:eastAsia="黑体"/>
          <w:b/>
          <w:sz w:val="32"/>
        </w:rPr>
      </w:pPr>
    </w:p>
    <w:p w14:paraId="7F7B54D4">
      <w:pPr>
        <w:spacing w:before="160" w:after="60"/>
        <w:rPr>
          <w:rFonts w:ascii="黑体" w:hAnsi="黑体" w:eastAsia="黑体"/>
          <w:b/>
          <w:sz w:val="32"/>
        </w:rPr>
      </w:pPr>
    </w:p>
    <w:p w14:paraId="1A607B3E">
      <w:pPr>
        <w:spacing w:before="160" w:after="60"/>
        <w:rPr>
          <w:rFonts w:ascii="黑体" w:hAnsi="黑体" w:eastAsia="黑体"/>
          <w:b/>
          <w:sz w:val="32"/>
        </w:rPr>
      </w:pPr>
    </w:p>
    <w:p w14:paraId="3C78D442">
      <w:pPr>
        <w:spacing w:before="160" w:after="60"/>
        <w:rPr>
          <w:rFonts w:ascii="黑体" w:hAnsi="黑体" w:eastAsia="黑体"/>
          <w:b/>
          <w:sz w:val="32"/>
        </w:rPr>
      </w:pPr>
    </w:p>
    <w:p w14:paraId="1B332AE9">
      <w:pPr>
        <w:spacing w:before="160" w:after="60"/>
        <w:rPr>
          <w:rFonts w:ascii="黑体" w:hAnsi="黑体" w:eastAsia="黑体"/>
          <w:b/>
          <w:sz w:val="32"/>
        </w:rPr>
      </w:pPr>
    </w:p>
    <w:p w14:paraId="60982E14">
      <w:pPr>
        <w:spacing w:before="160" w:after="60"/>
        <w:rPr>
          <w:rFonts w:ascii="黑体" w:hAnsi="黑体" w:eastAsia="黑体"/>
          <w:b/>
          <w:sz w:val="32"/>
        </w:rPr>
      </w:pPr>
    </w:p>
    <w:p w14:paraId="4F578CC3">
      <w:pPr>
        <w:spacing w:before="160" w:after="60"/>
        <w:rPr>
          <w:rFonts w:ascii="黑体" w:hAnsi="黑体" w:eastAsia="黑体"/>
          <w:b/>
          <w:sz w:val="32"/>
        </w:rPr>
      </w:pPr>
    </w:p>
    <w:p w14:paraId="1F6EED59">
      <w:pPr>
        <w:spacing w:before="160" w:after="60"/>
        <w:rPr>
          <w:rFonts w:ascii="黑体" w:hAnsi="黑体" w:eastAsia="黑体"/>
          <w:b/>
          <w:sz w:val="32"/>
        </w:rPr>
      </w:pPr>
      <w:r>
        <w:rPr>
          <w:rFonts w:ascii="黑体" w:hAnsi="黑体" w:eastAsia="黑体"/>
          <w:b/>
          <w:sz w:val="32"/>
        </w:rPr>
        <w:t>附录A  参考文献</w:t>
      </w:r>
    </w:p>
    <w:p w14:paraId="79474572">
      <w:r>
        <w:rPr>
          <w:rFonts w:ascii="Times New Roman" w:hAnsi="Times New Roman" w:eastAsia="宋体"/>
          <w:sz w:val="21"/>
        </w:rPr>
        <w:t>[1] 陆治原. 十四届全国人大四次会议民生主题记者会发言[R]. 北京, 2026.</w:t>
      </w:r>
    </w:p>
    <w:p w14:paraId="4D94E991">
      <w:r>
        <w:rPr>
          <w:rFonts w:ascii="Times New Roman" w:hAnsi="Times New Roman" w:eastAsia="宋体"/>
          <w:sz w:val="21"/>
        </w:rPr>
        <w:t>[2] 国务院办公厅. 关于推进养老服务发展的意见[EB/OL]. http://www.gov.cn, 2019.</w:t>
      </w:r>
    </w:p>
    <w:p w14:paraId="413CC8B6">
      <w:r>
        <w:rPr>
          <w:rFonts w:ascii="Times New Roman" w:hAnsi="Times New Roman" w:eastAsia="宋体"/>
          <w:sz w:val="21"/>
        </w:rPr>
        <w:t>[3] 民政部. "十四五"国家老龄事业发展和养老服务体系规划[EB/OL]. http://www.mca.gov.cn, 2022.</w:t>
      </w:r>
    </w:p>
    <w:p w14:paraId="3B0EE06E">
      <w:r>
        <w:rPr>
          <w:rFonts w:ascii="Times New Roman" w:hAnsi="Times New Roman" w:eastAsia="宋体"/>
          <w:sz w:val="21"/>
        </w:rPr>
        <w:t>[4] Daskin M S. Network and Discrete Location: Models, Algorithms, and Applications[M]. 2nd ed. New York: Wiley, 2013.</w:t>
      </w:r>
    </w:p>
    <w:p w14:paraId="3C937C57">
      <w:r>
        <w:rPr>
          <w:rFonts w:ascii="Times New Roman" w:hAnsi="Times New Roman" w:eastAsia="宋体"/>
          <w:sz w:val="21"/>
        </w:rPr>
        <w:t>[5] Owen S H, Daskin M S. Strategic facility location: A review[J]. European Journal of Operational Research, 1998, 111(3): 423-447.</w:t>
      </w:r>
    </w:p>
    <w:p w14:paraId="6CDBEC1E">
      <w:r>
        <w:rPr>
          <w:rFonts w:ascii="Times New Roman" w:hAnsi="Times New Roman" w:eastAsia="宋体"/>
          <w:sz w:val="21"/>
        </w:rPr>
        <w:t>[6] 彭建东, 邢露, 杨红. 基于供需匹配的养老服务设施规划布局研究[J]. 地球信息科学学报, 2022, 24(7): 1349-1362.</w:t>
      </w:r>
    </w:p>
    <w:p w14:paraId="6BA086EA">
      <w:r>
        <w:rPr>
          <w:rFonts w:ascii="Times New Roman" w:hAnsi="Times New Roman" w:eastAsia="宋体"/>
          <w:sz w:val="21"/>
        </w:rPr>
        <w:t>[7] 吉宇琴, 姜会明. 新时代老龄化与养老资源适配度时空差异及其影响因素分析[J]. 地理科学, 2022, 42(5): 851-862.</w:t>
      </w:r>
    </w:p>
    <w:p w14:paraId="1B4D540D">
      <w:r>
        <w:rPr>
          <w:rFonts w:ascii="Times New Roman" w:hAnsi="Times New Roman" w:eastAsia="宋体"/>
          <w:sz w:val="21"/>
        </w:rPr>
        <w:t>[8] 陈友华, 苗国. 老龄化背景下养老服务设施空间配置优化研究[J]. 人口研究, 2022, 46(3): 85-98.</w:t>
      </w:r>
    </w:p>
    <w:p w14:paraId="7E31996E">
      <w:r>
        <w:rPr>
          <w:rFonts w:ascii="Times New Roman" w:hAnsi="Times New Roman" w:eastAsia="宋体"/>
          <w:sz w:val="21"/>
        </w:rPr>
        <w:t>[9] 中国老龄科学研究中心. 中国老龄事业发展报告(2024)[R]. 北京: 社会科学文献出版社, 2024.</w:t>
      </w:r>
    </w:p>
    <w:p w14:paraId="7CCE130F">
      <w:r>
        <w:rPr>
          <w:rFonts w:ascii="Times New Roman" w:hAnsi="Times New Roman" w:eastAsia="宋体"/>
          <w:sz w:val="21"/>
        </w:rPr>
        <w:t>[10] Train K. Discrete Choice Methods with Simulation[M]. 2nd ed. Cambridge: Cambridge University Press, 2009.</w:t>
      </w:r>
    </w:p>
    <w:p w14:paraId="3F44064F">
      <w:r>
        <w:rPr>
          <w:rFonts w:ascii="Times New Roman" w:hAnsi="Times New Roman" w:eastAsia="宋体"/>
          <w:sz w:val="21"/>
        </w:rPr>
        <w:t>[11] 朱宇, 刘爽. Markov模型在人口结构预测中的应用[J]. 统计与决策, 2021, 37(15): 38-42.</w:t>
      </w:r>
    </w:p>
    <w:p w14:paraId="62FB3A54">
      <w:r>
        <w:rPr>
          <w:rFonts w:ascii="Times New Roman" w:hAnsi="Times New Roman" w:eastAsia="宋体"/>
          <w:sz w:val="21"/>
        </w:rPr>
        <w:t>[12] 李建新, 夏翠翠. 中国老年人口健康转变的队列分析[J]. 人口学刊, 2020, 42(3): 5-17.</w:t>
      </w:r>
    </w:p>
    <w:p w14:paraId="0F0648B0">
      <w:r>
        <w:br w:type="page"/>
      </w:r>
    </w:p>
    <w:p w14:paraId="4C337F86">
      <w:pPr>
        <w:spacing w:before="160" w:after="60"/>
      </w:pPr>
      <w:r>
        <w:rPr>
          <w:rFonts w:ascii="黑体" w:hAnsi="黑体" w:eastAsia="黑体"/>
          <w:b/>
          <w:sz w:val="32"/>
        </w:rPr>
        <w:t>附录</w:t>
      </w:r>
      <w:r>
        <w:rPr>
          <w:rFonts w:hint="eastAsia" w:ascii="黑体" w:hAnsi="黑体" w:eastAsia="黑体"/>
          <w:b/>
          <w:sz w:val="32"/>
          <w:lang w:val="en-US" w:eastAsia="zh-CN"/>
        </w:rPr>
        <w:t>B</w:t>
      </w:r>
      <w:r>
        <w:rPr>
          <w:rFonts w:ascii="黑体" w:hAnsi="黑体" w:eastAsia="黑体"/>
          <w:b/>
          <w:sz w:val="32"/>
        </w:rPr>
        <w:t xml:space="preserve">  核心代码</w:t>
      </w:r>
    </w:p>
    <w:p w14:paraId="61CC81BE">
      <w:pPr>
        <w:spacing w:line="360" w:lineRule="auto"/>
        <w:ind w:firstLine="480"/>
      </w:pPr>
      <w:r>
        <w:rPr>
          <w:rFonts w:ascii="Times New Roman" w:hAnsi="Times New Roman" w:eastAsia="宋体"/>
          <w:sz w:val="24"/>
        </w:rPr>
        <w:t>（完整求解程序见支撑材料 solver_b_v3.py）</w:t>
      </w:r>
    </w:p>
    <w:p w14:paraId="5EE145BE">
      <w:pPr>
        <w:spacing w:before="160" w:after="60"/>
      </w:pPr>
      <w:r>
        <w:rPr>
          <w:rFonts w:hint="eastAsia" w:ascii="黑体" w:hAnsi="黑体" w:eastAsia="黑体"/>
          <w:b/>
          <w:sz w:val="24"/>
          <w:lang w:val="en-US" w:eastAsia="zh-CN"/>
        </w:rPr>
        <w:t>B</w:t>
      </w:r>
      <w:r>
        <w:rPr>
          <w:rFonts w:ascii="黑体" w:hAnsi="黑体" w:eastAsia="黑体"/>
          <w:b/>
          <w:sz w:val="24"/>
        </w:rPr>
        <w:t>.1 人口递推模型</w:t>
      </w:r>
    </w:p>
    <w:p w14:paraId="63A69277">
      <w:r>
        <w:rPr>
          <w:rFonts w:ascii="Consolas" w:hAnsi="Consolas"/>
          <w:sz w:val="16"/>
        </w:rPr>
        <w:t>def predict_one(sc0, sm0, ds0, yrs=5):</w:t>
      </w:r>
      <w:r>
        <w:rPr>
          <w:rFonts w:ascii="Consolas" w:hAnsi="Consolas"/>
          <w:sz w:val="16"/>
        </w:rPr>
        <w:br w:type="textWrapping"/>
      </w:r>
      <w:r>
        <w:rPr>
          <w:rFonts w:ascii="Consolas" w:hAnsi="Consolas"/>
          <w:sz w:val="16"/>
        </w:rPr>
        <w:t xml:space="preserve">    hist = [(sc0, sm0, ds0)]</w:t>
      </w:r>
      <w:r>
        <w:rPr>
          <w:rFonts w:ascii="Consolas" w:hAnsi="Consolas"/>
          <w:sz w:val="16"/>
        </w:rPr>
        <w:br w:type="textWrapping"/>
      </w:r>
      <w:r>
        <w:rPr>
          <w:rFonts w:ascii="Consolas" w:hAnsi="Consolas"/>
          <w:sz w:val="16"/>
        </w:rPr>
        <w:t xml:space="preserve">    for _ in range(yrs):</w:t>
      </w:r>
      <w:r>
        <w:rPr>
          <w:rFonts w:ascii="Consolas" w:hAnsi="Consolas"/>
          <w:sz w:val="16"/>
        </w:rPr>
        <w:br w:type="textWrapping"/>
      </w:r>
      <w:r>
        <w:rPr>
          <w:rFonts w:ascii="Consolas" w:hAnsi="Consolas"/>
          <w:sz w:val="16"/>
        </w:rPr>
        <w:t xml:space="preserve">        sc, sm, ds = hist[-1]; tot = sc + sm + ds</w:t>
      </w:r>
      <w:r>
        <w:rPr>
          <w:rFonts w:ascii="Consolas" w:hAnsi="Consolas"/>
          <w:sz w:val="16"/>
        </w:rPr>
        <w:br w:type="textWrapping"/>
      </w:r>
      <w:r>
        <w:rPr>
          <w:rFonts w:ascii="Consolas" w:hAnsi="Consolas"/>
          <w:sz w:val="16"/>
        </w:rPr>
        <w:t xml:space="preserve">        sc2 = sc + tot * GROWTH                   # 新增</w:t>
      </w:r>
      <w:r>
        <w:rPr>
          <w:rFonts w:ascii="Consolas" w:hAnsi="Consolas"/>
          <w:sz w:val="16"/>
        </w:rPr>
        <w:br w:type="textWrapping"/>
      </w:r>
      <w:r>
        <w:rPr>
          <w:rFonts w:ascii="Consolas" w:hAnsi="Consolas"/>
          <w:sz w:val="16"/>
        </w:rPr>
        <w:t xml:space="preserve">        to_sm = sc2 * P_S2M; to_d = sm * P_M2D    # 转移</w:t>
      </w:r>
      <w:r>
        <w:rPr>
          <w:rFonts w:ascii="Consolas" w:hAnsi="Consolas"/>
          <w:sz w:val="16"/>
        </w:rPr>
        <w:br w:type="textWrapping"/>
      </w:r>
      <w:r>
        <w:rPr>
          <w:rFonts w:ascii="Consolas" w:hAnsi="Consolas"/>
          <w:sz w:val="16"/>
        </w:rPr>
        <w:t xml:space="preserve">        sc3 = (sc2 - to_sm) * (1 - DEATH)          # 死亡</w:t>
      </w:r>
      <w:r>
        <w:rPr>
          <w:rFonts w:ascii="Consolas" w:hAnsi="Consolas"/>
          <w:sz w:val="16"/>
        </w:rPr>
        <w:br w:type="textWrapping"/>
      </w:r>
      <w:r>
        <w:rPr>
          <w:rFonts w:ascii="Consolas" w:hAnsi="Consolas"/>
          <w:sz w:val="16"/>
        </w:rPr>
        <w:t xml:space="preserve">        sm3 = (sm + to_sm - to_d) * (1 - DEATH)</w:t>
      </w:r>
      <w:r>
        <w:rPr>
          <w:rFonts w:ascii="Consolas" w:hAnsi="Consolas"/>
          <w:sz w:val="16"/>
        </w:rPr>
        <w:br w:type="textWrapping"/>
      </w:r>
      <w:r>
        <w:rPr>
          <w:rFonts w:ascii="Consolas" w:hAnsi="Consolas"/>
          <w:sz w:val="16"/>
        </w:rPr>
        <w:t xml:space="preserve">        ds3 = (ds + to_d) * (1 - DEATH)</w:t>
      </w:r>
      <w:r>
        <w:rPr>
          <w:rFonts w:ascii="Consolas" w:hAnsi="Consolas"/>
          <w:sz w:val="16"/>
        </w:rPr>
        <w:br w:type="textWrapping"/>
      </w:r>
      <w:r>
        <w:rPr>
          <w:rFonts w:ascii="Consolas" w:hAnsi="Consolas"/>
          <w:sz w:val="16"/>
        </w:rPr>
        <w:t xml:space="preserve">        hist.append((sc3, sm3, ds3))</w:t>
      </w:r>
      <w:r>
        <w:rPr>
          <w:rFonts w:ascii="Consolas" w:hAnsi="Consolas"/>
          <w:sz w:val="16"/>
        </w:rPr>
        <w:br w:type="textWrapping"/>
      </w:r>
      <w:r>
        <w:rPr>
          <w:rFonts w:ascii="Consolas" w:hAnsi="Consolas"/>
          <w:sz w:val="16"/>
        </w:rPr>
        <w:t xml:space="preserve">    return hist</w:t>
      </w:r>
    </w:p>
    <w:p w14:paraId="7C6FEF27">
      <w:pPr>
        <w:spacing w:before="160" w:after="60"/>
      </w:pPr>
      <w:r>
        <w:rPr>
          <w:rFonts w:hint="eastAsia" w:ascii="黑体" w:hAnsi="黑体" w:eastAsia="黑体"/>
          <w:b/>
          <w:sz w:val="24"/>
          <w:lang w:val="en-US" w:eastAsia="zh-CN"/>
        </w:rPr>
        <w:t>B</w:t>
      </w:r>
      <w:r>
        <w:rPr>
          <w:rFonts w:ascii="黑体" w:hAnsi="黑体" w:eastAsia="黑体"/>
          <w:b/>
          <w:sz w:val="24"/>
        </w:rPr>
        <w:t>.2 消费约束缩放因子</w:t>
      </w:r>
    </w:p>
    <w:p w14:paraId="159A3651">
      <w:r>
        <w:rPr>
          <w:rFonts w:ascii="Consolas" w:hAnsi="Consolas"/>
          <w:sz w:val="16"/>
        </w:rPr>
        <w:t>def calc_alpha_percapita(comm, prices=None):</w:t>
      </w:r>
      <w:r>
        <w:rPr>
          <w:rFonts w:ascii="Consolas" w:hAnsi="Consolas"/>
          <w:sz w:val="16"/>
        </w:rPr>
        <w:br w:type="textWrapping"/>
      </w:r>
      <w:r>
        <w:rPr>
          <w:rFonts w:ascii="Consolas" w:hAnsi="Consolas"/>
          <w:sz w:val="16"/>
        </w:rPr>
        <w:t xml:space="preserve">    if prices is None: prices = {s: PRICE_COST[s][0] for s in PAID}</w:t>
      </w:r>
      <w:r>
        <w:rPr>
          <w:rFonts w:ascii="Consolas" w:hAnsi="Consolas"/>
          <w:sz w:val="16"/>
        </w:rPr>
        <w:br w:type="textWrapping"/>
      </w:r>
      <w:r>
        <w:rPr>
          <w:rFonts w:ascii="Consolas" w:hAnsi="Consolas"/>
          <w:sz w:val="16"/>
        </w:rPr>
        <w:t xml:space="preserve">    income = INIT[comm][5]; alphas = {}</w:t>
      </w:r>
      <w:r>
        <w:rPr>
          <w:rFonts w:ascii="Consolas" w:hAnsi="Consolas"/>
          <w:sz w:val="16"/>
        </w:rPr>
        <w:br w:type="textWrapping"/>
      </w:r>
      <w:r>
        <w:rPr>
          <w:rFonts w:ascii="Consolas" w:hAnsi="Consolas"/>
          <w:sz w:val="16"/>
        </w:rPr>
        <w:t xml:space="preserve">    for ci, cat in enumerate(["自理","半失能","失能"]):</w:t>
      </w:r>
      <w:r>
        <w:rPr>
          <w:rFonts w:ascii="Consolas" w:hAnsi="Consolas"/>
          <w:sz w:val="16"/>
        </w:rPr>
        <w:br w:type="textWrapping"/>
      </w:r>
      <w:r>
        <w:rPr>
          <w:rFonts w:ascii="Consolas" w:hAnsi="Consolas"/>
          <w:sz w:val="16"/>
        </w:rPr>
        <w:t xml:space="preserve">        paid_cost = sum(PC_DEMAND[s][ci] * prices[s] for s in PAID)</w:t>
      </w:r>
      <w:r>
        <w:rPr>
          <w:rFonts w:ascii="Consolas" w:hAnsi="Consolas"/>
          <w:sz w:val="16"/>
        </w:rPr>
        <w:br w:type="textWrapping"/>
      </w:r>
      <w:r>
        <w:rPr>
          <w:rFonts w:ascii="Consolas" w:hAnsi="Consolas"/>
          <w:sz w:val="16"/>
        </w:rPr>
        <w:t xml:space="preserve">        cap = income * CAP_RATIO[cat]</w:t>
      </w:r>
      <w:r>
        <w:rPr>
          <w:rFonts w:ascii="Consolas" w:hAnsi="Consolas"/>
          <w:sz w:val="16"/>
        </w:rPr>
        <w:br w:type="textWrapping"/>
      </w:r>
      <w:r>
        <w:rPr>
          <w:rFonts w:ascii="Consolas" w:hAnsi="Consolas"/>
          <w:sz w:val="16"/>
        </w:rPr>
        <w:t xml:space="preserve">        alphas[cat] = min(1.0, cap / paid_cost) if paid_cost &gt; 0 else 1.0</w:t>
      </w:r>
      <w:r>
        <w:rPr>
          <w:rFonts w:ascii="Consolas" w:hAnsi="Consolas"/>
          <w:sz w:val="16"/>
        </w:rPr>
        <w:br w:type="textWrapping"/>
      </w:r>
      <w:r>
        <w:rPr>
          <w:rFonts w:ascii="Consolas" w:hAnsi="Consolas"/>
          <w:sz w:val="16"/>
        </w:rPr>
        <w:t xml:space="preserve">    return alphas</w:t>
      </w:r>
    </w:p>
    <w:p w14:paraId="1262E44C">
      <w:pPr>
        <w:spacing w:before="160" w:after="60"/>
      </w:pPr>
      <w:r>
        <w:rPr>
          <w:rFonts w:hint="eastAsia" w:ascii="黑体" w:hAnsi="黑体" w:eastAsia="黑体"/>
          <w:b/>
          <w:sz w:val="24"/>
          <w:lang w:val="en-US" w:eastAsia="zh-CN"/>
        </w:rPr>
        <w:t>B</w:t>
      </w:r>
      <w:r>
        <w:rPr>
          <w:rFonts w:ascii="黑体" w:hAnsi="黑体" w:eastAsia="黑体"/>
          <w:b/>
          <w:sz w:val="24"/>
        </w:rPr>
        <w:t>.3 阻尼不动点迭代分配</w:t>
      </w:r>
    </w:p>
    <w:p w14:paraId="22641200">
      <w:r>
        <w:rPr>
          <w:rFonts w:ascii="Consolas" w:hAnsi="Consolas"/>
          <w:sz w:val="16"/>
        </w:rPr>
        <w:t>def iterate_assignment_exact(station_comms, station_types, pop, alphas,</w:t>
      </w:r>
      <w:r>
        <w:rPr>
          <w:rFonts w:ascii="Consolas" w:hAnsi="Consolas"/>
          <w:sz w:val="16"/>
        </w:rPr>
        <w:br w:type="textWrapping"/>
      </w:r>
      <w:r>
        <w:rPr>
          <w:rFonts w:ascii="Consolas" w:hAnsi="Consolas"/>
          <w:sz w:val="16"/>
        </w:rPr>
        <w:t xml:space="preserve">                            price_mult, max_iter=20, tol=1e-3, damping=0.5):</w:t>
      </w:r>
      <w:r>
        <w:rPr>
          <w:rFonts w:ascii="Consolas" w:hAnsi="Consolas"/>
          <w:sz w:val="16"/>
        </w:rPr>
        <w:br w:type="textWrapping"/>
      </w:r>
      <w:r>
        <w:rPr>
          <w:rFonts w:ascii="Consolas" w:hAnsi="Consolas"/>
          <w:sz w:val="16"/>
        </w:rPr>
        <w:t xml:space="preserve">    # 预计算S1矩阵、每日需求</w:t>
      </w:r>
      <w:r>
        <w:rPr>
          <w:rFonts w:ascii="Consolas" w:hAnsi="Consolas"/>
          <w:sz w:val="16"/>
        </w:rPr>
        <w:br w:type="textWrapping"/>
      </w:r>
      <w:r>
        <w:rPr>
          <w:rFonts w:ascii="Consolas" w:hAnsi="Consolas"/>
          <w:sz w:val="16"/>
        </w:rPr>
        <w:t xml:space="preserve">    S2_vec = np.ones(n_st); prev_S2 = S2_vec.copy()</w:t>
      </w:r>
      <w:r>
        <w:rPr>
          <w:rFonts w:ascii="Consolas" w:hAnsi="Consolas"/>
          <w:sz w:val="16"/>
        </w:rPr>
        <w:br w:type="textWrapping"/>
      </w:r>
      <w:r>
        <w:rPr>
          <w:rFonts w:ascii="Consolas" w:hAnsi="Consolas"/>
          <w:sz w:val="16"/>
        </w:rPr>
        <w:t xml:space="preserve">    for it in range(max_iter):</w:t>
      </w:r>
      <w:r>
        <w:rPr>
          <w:rFonts w:ascii="Consolas" w:hAnsi="Consolas"/>
          <w:sz w:val="16"/>
        </w:rPr>
        <w:br w:type="textWrapping"/>
      </w:r>
      <w:r>
        <w:rPr>
          <w:rFonts w:ascii="Consolas" w:hAnsi="Consolas"/>
          <w:sz w:val="16"/>
        </w:rPr>
        <w:t xml:space="preserve">        S_mat = S_total(S1_mat, S2_vec, S3_vec)     # 综合满意度</w:t>
      </w:r>
      <w:r>
        <w:rPr>
          <w:rFonts w:ascii="Consolas" w:hAnsi="Consolas"/>
          <w:sz w:val="16"/>
        </w:rPr>
        <w:br w:type="textWrapping"/>
      </w:r>
      <w:r>
        <w:rPr>
          <w:rFonts w:ascii="Consolas" w:hAnsi="Consolas"/>
          <w:sz w:val="16"/>
        </w:rPr>
        <w:t xml:space="preserve">        assign = argmax(S_mat)                        # 小区-类别分配</w:t>
      </w:r>
      <w:r>
        <w:rPr>
          <w:rFonts w:ascii="Consolas" w:hAnsi="Consolas"/>
          <w:sz w:val="16"/>
        </w:rPr>
        <w:br w:type="textWrapping"/>
      </w:r>
      <w:r>
        <w:rPr>
          <w:rFonts w:ascii="Consolas" w:hAnsi="Consolas"/>
          <w:sz w:val="16"/>
        </w:rPr>
        <w:t xml:space="preserve">        load = sum(daily_demand × assign)             # 各站日负荷</w:t>
      </w:r>
      <w:r>
        <w:rPr>
          <w:rFonts w:ascii="Consolas" w:hAnsi="Consolas"/>
          <w:sz w:val="16"/>
        </w:rPr>
        <w:br w:type="textWrapping"/>
      </w:r>
      <w:r>
        <w:rPr>
          <w:rFonts w:ascii="Consolas" w:hAnsi="Consolas"/>
          <w:sz w:val="16"/>
        </w:rPr>
        <w:t xml:space="preserve">        rho = load / capacity                         # 利用率</w:t>
      </w:r>
      <w:r>
        <w:rPr>
          <w:rFonts w:ascii="Consolas" w:hAnsi="Consolas"/>
          <w:sz w:val="16"/>
        </w:rPr>
        <w:br w:type="textWrapping"/>
      </w:r>
      <w:r>
        <w:rPr>
          <w:rFonts w:ascii="Consolas" w:hAnsi="Consolas"/>
          <w:sz w:val="16"/>
        </w:rPr>
        <w:t xml:space="preserve">        new_S2 = [S2(r) for r in rho]                 # 阶跃更新</w:t>
      </w:r>
      <w:r>
        <w:rPr>
          <w:rFonts w:ascii="Consolas" w:hAnsi="Consolas"/>
          <w:sz w:val="16"/>
        </w:rPr>
        <w:br w:type="textWrapping"/>
      </w:r>
      <w:r>
        <w:rPr>
          <w:rFonts w:ascii="Consolas" w:hAnsi="Consolas"/>
          <w:sz w:val="16"/>
        </w:rPr>
        <w:t xml:space="preserve">        S2_vec = damping×new_S2 + (1-damping)×S2_vec  # 阻尼松弛</w:t>
      </w:r>
      <w:r>
        <w:rPr>
          <w:rFonts w:ascii="Consolas" w:hAnsi="Consolas"/>
          <w:sz w:val="16"/>
        </w:rPr>
        <w:br w:type="textWrapping"/>
      </w:r>
      <w:r>
        <w:rPr>
          <w:rFonts w:ascii="Consolas" w:hAnsi="Consolas"/>
          <w:sz w:val="16"/>
        </w:rPr>
        <w:t xml:space="preserve">        if max|S2_vec - prev_S2| &lt; tol: break</w:t>
      </w:r>
      <w:r>
        <w:rPr>
          <w:rFonts w:ascii="Consolas" w:hAnsi="Consolas"/>
          <w:sz w:val="16"/>
        </w:rPr>
        <w:br w:type="textWrapping"/>
      </w:r>
      <w:r>
        <w:rPr>
          <w:rFonts w:ascii="Consolas" w:hAnsi="Consolas"/>
          <w:sz w:val="16"/>
        </w:rPr>
        <w:t xml:space="preserve">    return assign, rho, S2_vec, profits</w:t>
      </w:r>
    </w:p>
    <w:p w14:paraId="117EBFA3">
      <w:pPr>
        <w:spacing w:before="160" w:after="60"/>
      </w:pPr>
      <w:r>
        <w:rPr>
          <w:rFonts w:hint="eastAsia" w:ascii="黑体" w:hAnsi="黑体" w:eastAsia="黑体"/>
          <w:b/>
          <w:sz w:val="24"/>
          <w:lang w:val="en-US" w:eastAsia="zh-CN"/>
        </w:rPr>
        <w:t>B</w:t>
      </w:r>
      <w:r>
        <w:rPr>
          <w:rFonts w:ascii="黑体" w:hAnsi="黑体" w:eastAsia="黑体"/>
          <w:b/>
          <w:sz w:val="24"/>
        </w:rPr>
        <w:t>.4 利润率计算（总成本口径）</w:t>
      </w:r>
    </w:p>
    <w:p w14:paraId="2CDB1021">
      <w:r>
        <w:rPr>
          <w:rFonts w:ascii="Consolas" w:hAnsi="Consolas"/>
          <w:sz w:val="16"/>
        </w:rPr>
        <w:t xml:space="preserve">    for si in range(n_st):</w:t>
      </w:r>
      <w:r>
        <w:rPr>
          <w:rFonts w:ascii="Consolas" w:hAnsi="Consolas"/>
          <w:sz w:val="16"/>
        </w:rPr>
        <w:br w:type="textWrapping"/>
      </w:r>
      <w:r>
        <w:rPr>
          <w:rFonts w:ascii="Consolas" w:hAnsi="Consolas"/>
          <w:sz w:val="16"/>
        </w:rPr>
        <w:t xml:space="preserve">        annual_fixed = build/20 + daily_mgmt×365/10000      # 固定成本</w:t>
      </w:r>
      <w:r>
        <w:rPr>
          <w:rFonts w:ascii="Consolas" w:hAnsi="Consolas"/>
          <w:sz w:val="16"/>
        </w:rPr>
        <w:br w:type="textWrapping"/>
      </w:r>
      <w:r>
        <w:rPr>
          <w:rFonts w:ascii="Consolas" w:hAnsi="Consolas"/>
          <w:sz w:val="16"/>
        </w:rPr>
        <w:t xml:space="preserve">        annual_gross = Σ (daily_visits × (price-cost)) /10000 # 毛利</w:t>
      </w:r>
      <w:r>
        <w:rPr>
          <w:rFonts w:ascii="Consolas" w:hAnsi="Consolas"/>
          <w:sz w:val="16"/>
        </w:rPr>
        <w:br w:type="textWrapping"/>
      </w:r>
      <w:r>
        <w:rPr>
          <w:rFonts w:ascii="Consolas" w:hAnsi="Consolas"/>
          <w:sz w:val="16"/>
        </w:rPr>
        <w:t xml:space="preserve">        annual_variable = Σ (daily_visits × cost) /10000      # 变动成本</w:t>
      </w:r>
      <w:r>
        <w:rPr>
          <w:rFonts w:ascii="Consolas" w:hAnsi="Consolas"/>
          <w:sz w:val="16"/>
        </w:rPr>
        <w:br w:type="textWrapping"/>
      </w:r>
      <w:r>
        <w:rPr>
          <w:rFonts w:ascii="Consolas" w:hAnsi="Consolas"/>
          <w:sz w:val="16"/>
        </w:rPr>
        <w:t xml:space="preserve">        annual_subsidy = min(load×2, daily_cap) ×365/10000    # 补贴</w:t>
      </w:r>
      <w:r>
        <w:rPr>
          <w:rFonts w:ascii="Consolas" w:hAnsi="Consolas"/>
          <w:sz w:val="16"/>
        </w:rPr>
        <w:br w:type="textWrapping"/>
      </w:r>
      <w:r>
        <w:rPr>
          <w:rFonts w:ascii="Consolas" w:hAnsi="Consolas"/>
          <w:sz w:val="16"/>
        </w:rPr>
        <w:t xml:space="preserve">        annual_net = annual_gross + annual_subsidy - annual_fixed</w:t>
      </w:r>
      <w:r>
        <w:rPr>
          <w:rFonts w:ascii="Consolas" w:hAnsi="Consolas"/>
          <w:sz w:val="16"/>
        </w:rPr>
        <w:br w:type="textWrapping"/>
      </w:r>
      <w:r>
        <w:rPr>
          <w:rFonts w:ascii="Consolas" w:hAnsi="Consolas"/>
          <w:sz w:val="16"/>
        </w:rPr>
        <w:t xml:space="preserve">        profit_rate = annual_net / (annual_fixed + annual_variable)</w:t>
      </w:r>
      <w:bookmarkStart w:id="0" w:name="_GoBack"/>
      <w:bookmarkEnd w:id="0"/>
    </w:p>
    <w:sectPr>
      <w:footerReference r:id="rId5" w:type="default"/>
      <w:pgSz w:w="12240" w:h="15840"/>
      <w:pgMar w:top="1417" w:right="1417" w:bottom="1417" w:left="141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DDC08">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8DA873">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3tSfd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GgrRQ&#10;8ftvX++//7z/8QXBHgi0VWYCcbcKIu3uUu4guN83sOl47yrdun9ghMAP8t4d5GU7i6g7lA7SNAIX&#10;BV+/APzweFxpY18x2SJnZFhD/bysZLMwtgvtQ9xtQhYN576GXKBthoenZ5E/cPAAOBcuFrIAjL3V&#10;1ebTOBpfpVdpEiSD4VWQRHkezIp5EgyLeHSWn+bzeR5/dnhxMqmbsmTC3df3SZw8rw77XukqfOgU&#10;I3lTOjiXktGr5ZxrtCHQp4X/OYUh+Qdh4eM0vBtYPaEUD5LocjAOimE6CpIiOQvGoygNonh8OR5G&#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ze1J90CAAAmBgAADgAAAAAAAAABACAAAAAfAQAAZHJzL2Uyb0RvYy54bWxQSwUG&#10;AAAAAAYABgBZAQAAbgYAAAAA&#10;">
              <v:fill on="f" focussize="0,0"/>
              <v:stroke on="f" weight="0.5pt"/>
              <v:imagedata o:title=""/>
              <o:lock v:ext="edit" aspectratio="f"/>
              <v:textbox inset="0mm,0mm,0mm,0mm" style="mso-fit-shape-to-text:t;">
                <w:txbxContent>
                  <w:p w14:paraId="528DA873">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8B70F4"/>
    <w:rsid w:val="4723522B"/>
    <w:rsid w:val="57EE614A"/>
    <w:rsid w:val="664779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2919</Words>
  <Characters>3869</Characters>
  <Lines>0</Lines>
  <Paragraphs>0</Paragraphs>
  <TotalTime>1</TotalTime>
  <ScaleCrop>false</ScaleCrop>
  <LinksUpToDate>false</LinksUpToDate>
  <CharactersWithSpaces>3937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朱思逸</cp:lastModifiedBy>
  <dcterms:modified xsi:type="dcterms:W3CDTF">2026-05-24T09:54:27Z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eyJoZGlkIjoiZTRlYjJlMDQ0ZDE5NTUyYWYzZDQwZmU2MDQwMDBlMGIiLCJ1c2VySWQiOiIxNjE5Nzk2NTIwIn0=</vt:lpwstr>
  </property>
  <property fmtid="{D5CDD505-2E9C-101B-9397-08002B2CF9AE}" pid="3" name="KSOProductBuildVer">
    <vt:lpwstr>2052-12.1.0.23542</vt:lpwstr>
  </property>
  <property fmtid="{D5CDD505-2E9C-101B-9397-08002B2CF9AE}" pid="4" name="ICV">
    <vt:lpwstr>7E3842B901234A4E8A4A715ABCA00F46_12</vt:lpwstr>
  </property>
</Properties>
</file>