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bzt5v798rw6s" w:id="0"/>
      <w:bookmarkEnd w:id="0"/>
      <w:r w:rsidDel="00000000" w:rsidR="00000000" w:rsidRPr="00000000">
        <w:rPr>
          <w:rtl w:val="0"/>
        </w:rPr>
        <w:t xml:space="preserve">Estrategias y Herramientas para la Documentación y Visualización de Arquitectura de Software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5wrr5vs0vm7n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gestión técnica de proyectos de software modernos exige mecanismos rigurosos para documentar decisiones, visualizar flujos de datos y abstraer estructuras complejas. Este documento sintetiza tres pilares fundamentales extraídos del análisis de expertos: los  </w:t>
      </w:r>
      <w:r w:rsidDel="00000000" w:rsidR="00000000" w:rsidRPr="00000000">
        <w:rPr>
          <w:b w:val="1"/>
          <w:bCs w:val="1"/>
          <w:rtl w:val="0"/>
        </w:rPr>
        <w:t xml:space="preserve">Registros de Decisiones Arquitectónicas (ADR)</w:t>
      </w:r>
      <w:r w:rsidDel="00000000" w:rsidR="00000000" w:rsidRPr="00000000">
        <w:rPr>
          <w:rtl w:val="0"/>
        </w:rPr>
        <w:t xml:space="preserve"> , los  </w:t>
      </w:r>
      <w:r w:rsidDel="00000000" w:rsidR="00000000" w:rsidRPr="00000000">
        <w:rPr>
          <w:b w:val="1"/>
          <w:bCs w:val="1"/>
          <w:rtl w:val="0"/>
        </w:rPr>
        <w:t xml:space="preserve">Diagramas de Flujo de Datos (DFD)</w:t>
      </w:r>
      <w:r w:rsidDel="00000000" w:rsidR="00000000" w:rsidRPr="00000000">
        <w:rPr>
          <w:rtl w:val="0"/>
        </w:rPr>
        <w:t xml:space="preserve">  y el  </w:t>
      </w:r>
      <w:r w:rsidDel="00000000" w:rsidR="00000000" w:rsidRPr="00000000">
        <w:rPr>
          <w:b w:val="1"/>
          <w:bCs w:val="1"/>
          <w:rtl w:val="0"/>
        </w:rPr>
        <w:t xml:space="preserve">Modelo C4</w:t>
      </w:r>
      <w:r w:rsidDel="00000000" w:rsidR="00000000" w:rsidRPr="00000000">
        <w:rPr>
          <w:rtl w:val="0"/>
        </w:rPr>
        <w:t xml:space="preserve"> .Los puntos clave incluyen: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ADR:</w:t>
      </w:r>
      <w:r w:rsidDel="00000000" w:rsidR="00000000" w:rsidRPr="00000000">
        <w:rPr>
          <w:rtl w:val="0"/>
        </w:rPr>
        <w:t xml:space="preserve">  Son herramientas ligeras para capturar el "por qué" de las decisiones técnicas, evitando la pérdida de contexto histórico y la repetición de debates agotados.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DFD:</w:t>
      </w:r>
      <w:r w:rsidDel="00000000" w:rsidR="00000000" w:rsidRPr="00000000">
        <w:rPr>
          <w:rtl w:val="0"/>
        </w:rPr>
        <w:t xml:space="preserve">  Actúan como mapas visuales que rastrean el movimiento de la información, permitiendo identificar cuellos de botella y alinear a los interesados técnicos y no técnicos.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 C4:</w:t>
      </w:r>
      <w:r w:rsidDel="00000000" w:rsidR="00000000" w:rsidRPr="00000000">
        <w:rPr>
          <w:rtl w:val="0"/>
        </w:rPr>
        <w:t xml:space="preserve">  Proporciona un marco jerárquico de abstracción (Contexto, Contenedores, Componentes y Código) para que los desarrolladores naveguen por bases de código complejas sin perder la visión sistémica.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Convergencia:</w:t>
      </w:r>
      <w:r w:rsidDel="00000000" w:rsidR="00000000" w:rsidRPr="00000000">
        <w:rPr>
          <w:rtl w:val="0"/>
        </w:rPr>
        <w:t xml:space="preserve">  La efectividad del equipo depende de una comunicación clara y de un vocabulario común, priorizando la consistencia sobre la complejidad de la notación.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ywvhu5647mmd" w:id="2"/>
      <w:bookmarkEnd w:id="2"/>
      <w:r w:rsidDel="00000000" w:rsidR="00000000" w:rsidRPr="00000000">
        <w:rPr>
          <w:rtl w:val="0"/>
        </w:rPr>
        <w:t xml:space="preserve">1. Registros de Decisiones Arquitectónicas (ADR)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Las decisiones de arquitectura (como elegir entre CQRS o Event Sourcing) son inevitables y determinan la mantenibilidad y escalabilidad del producto. Un ADR es un registro que describe qué se decidió, su justificación, las alternativas consideradas y sus implicaciones.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gc62ux1v4hmw" w:id="3"/>
      <w:bookmarkEnd w:id="3"/>
      <w:r w:rsidDel="00000000" w:rsidR="00000000" w:rsidRPr="00000000">
        <w:rPr>
          <w:rtl w:val="0"/>
        </w:rPr>
        <w:t xml:space="preserve">Beneficios y Propósito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Transparencia:</w:t>
      </w:r>
      <w:r w:rsidDel="00000000" w:rsidR="00000000" w:rsidRPr="00000000">
        <w:rPr>
          <w:rtl w:val="0"/>
        </w:rPr>
        <w:t xml:space="preserve">  Actúa como fuente de verdad compartida para todo el equipo.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Contexto Histórico:</w:t>
      </w:r>
      <w:r w:rsidDel="00000000" w:rsidR="00000000" w:rsidRPr="00000000">
        <w:rPr>
          <w:rtl w:val="0"/>
        </w:rPr>
        <w:t xml:space="preserve">  Evita que el conocimiento se pierda cuando los miembros del equipo cambian.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Eficiencia:</w:t>
      </w:r>
      <w:r w:rsidDel="00000000" w:rsidR="00000000" w:rsidRPr="00000000">
        <w:rPr>
          <w:rtl w:val="0"/>
        </w:rPr>
        <w:t xml:space="preserve">  Previene la reapertura de discusiones ya cerradas.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c6weap7jikbn" w:id="4"/>
      <w:bookmarkEnd w:id="4"/>
      <w:r w:rsidDel="00000000" w:rsidR="00000000" w:rsidRPr="00000000">
        <w:rPr>
          <w:rtl w:val="0"/>
        </w:rPr>
        <w:t xml:space="preserve">Anti-patrones Comunes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Indecisión:</w:t>
      </w:r>
      <w:r w:rsidDel="00000000" w:rsidR="00000000" w:rsidRPr="00000000">
        <w:rPr>
          <w:rtl w:val="0"/>
        </w:rPr>
        <w:t xml:space="preserve">  No tomar decisiones por miedo al error.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Falta de Justificación:</w:t>
      </w:r>
      <w:r w:rsidDel="00000000" w:rsidR="00000000" w:rsidRPr="00000000">
        <w:rPr>
          <w:rtl w:val="0"/>
        </w:rPr>
        <w:t xml:space="preserve">  Decidir sin explicar el razonamiento, generando confusión.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Falta de Documentación:</w:t>
      </w:r>
      <w:r w:rsidDel="00000000" w:rsidR="00000000" w:rsidRPr="00000000">
        <w:rPr>
          <w:rtl w:val="0"/>
        </w:rPr>
        <w:t xml:space="preserve">  Hacer que el conocimiento sea efímero.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42txd77rphha" w:id="5"/>
      <w:bookmarkEnd w:id="5"/>
      <w:r w:rsidDel="00000000" w:rsidR="00000000" w:rsidRPr="00000000">
        <w:rPr>
          <w:rtl w:val="0"/>
        </w:rPr>
        <w:t xml:space="preserve">Mejores Prácticas para la Implementación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 análisis de ITDO y AWS destaca las siguientes pautas: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Reuniones Acotadas:</w:t>
      </w:r>
      <w:r w:rsidDel="00000000" w:rsidR="00000000" w:rsidRPr="00000000">
        <w:rPr>
          <w:rtl w:val="0"/>
        </w:rPr>
        <w:t xml:space="preserve">  Limitar sesiones a 30–45 minutos, preferiblemente iniciando con lectura silenciosa ( </w:t>
      </w:r>
      <w:r w:rsidDel="00000000" w:rsidR="00000000" w:rsidRPr="00000000">
        <w:rPr>
          <w:i w:val="1"/>
          <w:iCs w:val="1"/>
          <w:rtl w:val="0"/>
        </w:rPr>
        <w:t xml:space="preserve">readout meetings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Estructura Focalizada:</w:t>
      </w:r>
      <w:r w:rsidDel="00000000" w:rsidR="00000000" w:rsidRPr="00000000">
        <w:rPr>
          <w:rtl w:val="0"/>
        </w:rPr>
        <w:t xml:space="preserve">  Cada ADR debe tratar una sola decisión. Se debe separar el diseño (documentos exploratorios) de la decisión final (ADR).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Cierre de Ciclo:</w:t>
      </w:r>
      <w:r w:rsidDel="00000000" w:rsidR="00000000" w:rsidRPr="00000000">
        <w:rPr>
          <w:rtl w:val="0"/>
        </w:rPr>
        <w:t xml:space="preserve">  El autor debe integrar feedback y buscar consenso rápidamente; la mayoría de las decisiones deben cerrarse en 1 a 3 sesiones.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Priorización de Impacto:</w:t>
      </w:r>
      <w:r w:rsidDel="00000000" w:rsidR="00000000" w:rsidRPr="00000000">
        <w:rPr>
          <w:rtl w:val="0"/>
        </w:rPr>
        <w:t xml:space="preserve">  Centrarse en decisiones de alto coste, riesgo o impacto arquitectónico. No postergar decisiones críticas más de dos o tres sprints.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Transparencia de Confianza:</w:t>
      </w:r>
      <w:r w:rsidDel="00000000" w:rsidR="00000000" w:rsidRPr="00000000">
        <w:rPr>
          <w:rtl w:val="0"/>
        </w:rPr>
        <w:t xml:space="preserve">  Indicar explícitamente el nivel de certeza de la decisión, reconociendo que muchas son reversibles.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6wff3la9agu8" w:id="6"/>
      <w:bookmarkEnd w:id="6"/>
      <w:r w:rsidDel="00000000" w:rsidR="00000000" w:rsidRPr="00000000">
        <w:rPr>
          <w:rtl w:val="0"/>
        </w:rPr>
        <w:t xml:space="preserve">2. Diagramas de Flujo de Datos (DFD)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Los DFD son herramientas visuales que mapean cómo se mueve la información a través de los sistemas, desde su origen hasta su almacenamiento o salida. A diferencia de los diagramas de flujo de trabajo, se centran exclusivamente en el movimiento de los datos.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agowih86iown" w:id="7"/>
      <w:bookmarkEnd w:id="7"/>
      <w:r w:rsidDel="00000000" w:rsidR="00000000" w:rsidRPr="00000000">
        <w:rPr>
          <w:rtl w:val="0"/>
        </w:rPr>
        <w:t xml:space="preserve">Componentes Fundamentales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Componente,Representación Visual,Función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Procesos,Círculos o rectángulos redondeados,"Transformación o acción sobre los datos (ej. validación, sincronización)."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Almacenes de Datos,Rectángulos abiertos o líneas paralelas,"Datos en reposo (bases de datos, almacenes en la nube)."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Entidades Externas,Rectángulos,"Orígenes o destinos fuera del sistema (APIs de terceros, usuarios)."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Flujos de Datos,Flechas direccionales,El tipo de dato en tránsito y su dirección de movimiento.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kztki5e22jp8" w:id="8"/>
      <w:bookmarkEnd w:id="8"/>
      <w:r w:rsidDel="00000000" w:rsidR="00000000" w:rsidRPr="00000000">
        <w:rPr>
          <w:rtl w:val="0"/>
        </w:rPr>
        <w:t xml:space="preserve">Niveles de Abstracción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0 (Diagrama de Contexto):</w:t>
      </w:r>
      <w:r w:rsidDel="00000000" w:rsidR="00000000" w:rsidRPr="00000000">
        <w:rPr>
          <w:rtl w:val="0"/>
        </w:rPr>
        <w:t xml:space="preserve">  Vista de más alto nivel; el sistema se ve como un proceso único conectado a entidades externas.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1:</w:t>
      </w:r>
      <w:r w:rsidDel="00000000" w:rsidR="00000000" w:rsidRPr="00000000">
        <w:rPr>
          <w:rtl w:val="0"/>
        </w:rPr>
        <w:t xml:space="preserve">  Descompone el sistema en sus subprocesos principales e introduce almacenes de datos internos.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2 y superiores:</w:t>
      </w:r>
      <w:r w:rsidDel="00000000" w:rsidR="00000000" w:rsidRPr="00000000">
        <w:rPr>
          <w:rtl w:val="0"/>
        </w:rPr>
        <w:t xml:space="preserve">  Descomposición detallada de subprocesos específicos para documentar lógica compleja.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ku0jd7gyv1h2" w:id="9"/>
      <w:bookmarkEnd w:id="9"/>
      <w:r w:rsidDel="00000000" w:rsidR="00000000" w:rsidRPr="00000000">
        <w:rPr>
          <w:rtl w:val="0"/>
        </w:rPr>
        <w:t xml:space="preserve">Aplicación Práctica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Visibilidad:</w:t>
      </w:r>
      <w:r w:rsidDel="00000000" w:rsidR="00000000" w:rsidRPr="00000000">
        <w:rPr>
          <w:rtl w:val="0"/>
        </w:rPr>
        <w:t xml:space="preserve">  Alinea a equipos de ingeniería, analítica y operaciones.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Gobernanza:</w:t>
      </w:r>
      <w:r w:rsidDel="00000000" w:rsidR="00000000" w:rsidRPr="00000000">
        <w:rPr>
          <w:rtl w:val="0"/>
        </w:rPr>
        <w:t xml:space="preserve">  Ayuda a identificar dónde colocar controles de validación y cumplimiento (GDPR, HIPAA).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Operacionalización:</w:t>
      </w:r>
      <w:r w:rsidDel="00000000" w:rsidR="00000000" w:rsidRPr="00000000">
        <w:rPr>
          <w:rtl w:val="0"/>
        </w:rPr>
        <w:t xml:space="preserve">  Plataformas como RudderStack permiten que estos diagramas se conviertan en sistemas vivos, facilitando la ingesta, transformación y enrutamiento de eventos en tiempo real.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5eq3u1nncmf8" w:id="10"/>
      <w:bookmarkEnd w:id="10"/>
      <w:r w:rsidDel="00000000" w:rsidR="00000000" w:rsidRPr="00000000">
        <w:rPr>
          <w:rtl w:val="0"/>
        </w:rPr>
        <w:t xml:space="preserve">3. El Modelo C4 para Visualización de Arquitectura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Creado por Simon Brown, el modelo C4 aborda la brecha entre el modelo y el código ( </w:t>
      </w:r>
      <w:r w:rsidDel="00000000" w:rsidR="00000000" w:rsidRPr="00000000">
        <w:rPr>
          <w:i w:val="1"/>
          <w:iCs w:val="1"/>
          <w:rtl w:val="0"/>
        </w:rPr>
        <w:t xml:space="preserve">model-code gap</w:t>
      </w:r>
      <w:r w:rsidDel="00000000" w:rsidR="00000000" w:rsidRPr="00000000">
        <w:rPr>
          <w:rtl w:val="0"/>
        </w:rPr>
        <w:t xml:space="preserve"> ) y la falta de un vocabulario común en la arquitectura de software.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ixx8gdm6h0o5" w:id="11"/>
      <w:bookmarkEnd w:id="11"/>
      <w:r w:rsidDel="00000000" w:rsidR="00000000" w:rsidRPr="00000000">
        <w:rPr>
          <w:rtl w:val="0"/>
        </w:rPr>
        <w:t xml:space="preserve">La Jerarquía de los 4 Niveles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modelo propone hacer "zoom" en la arquitectura a través de cuatro niveles de detalle: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1: Diagrama de Contexto del Sistema:</w:t>
      </w:r>
      <w:r w:rsidDel="00000000" w:rsidR="00000000" w:rsidRPr="00000000">
        <w:rPr>
          <w:rtl w:val="0"/>
        </w:rPr>
        <w:t xml:space="preserve">  Muestra el sistema de software que se está construyendo y cómo interactúa con los usuarios y otros sistemas.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2: Diagrama de Contenedores:</w:t>
      </w:r>
      <w:r w:rsidDel="00000000" w:rsidR="00000000" w:rsidRPr="00000000">
        <w:rPr>
          <w:rtl w:val="0"/>
        </w:rPr>
        <w:t xml:space="preserve">  Desglosa el sistema en sus contenedores (aplicaciones web, aplicaciones móviles, esquemas de bases de datos, sistemas de archivos). Muestra las decisiones tecnológicas y la comunicación entre estos elementos.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3: Diagrama de Componentes:</w:t>
      </w:r>
      <w:r w:rsidDel="00000000" w:rsidR="00000000" w:rsidRPr="00000000">
        <w:rPr>
          <w:rtl w:val="0"/>
        </w:rPr>
        <w:t xml:space="preserve">  Descompone un contenedor individual para mostrar sus componentes lógicos internos y sus interacciones.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4: Código:</w:t>
      </w:r>
      <w:r w:rsidDel="00000000" w:rsidR="00000000" w:rsidRPr="00000000">
        <w:rPr>
          <w:rtl w:val="0"/>
        </w:rPr>
        <w:t xml:space="preserve">  Detalles de implementación de los componentes (clases, interfaces, funciones).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4y1a28q6okmm" w:id="12"/>
      <w:bookmarkEnd w:id="12"/>
      <w:r w:rsidDel="00000000" w:rsidR="00000000" w:rsidRPr="00000000">
        <w:rPr>
          <w:rtl w:val="0"/>
        </w:rPr>
        <w:t xml:space="preserve">Principios Fundamentales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Abstracción sobre Notación:</w:t>
      </w:r>
      <w:r w:rsidDel="00000000" w:rsidR="00000000" w:rsidRPr="00000000">
        <w:rPr>
          <w:rtl w:val="0"/>
        </w:rPr>
        <w:t xml:space="preserve">  Un conjunto común de abstracciones es más importante que una notación común (como UML).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Independencia:</w:t>
      </w:r>
      <w:r w:rsidDel="00000000" w:rsidR="00000000" w:rsidRPr="00000000">
        <w:rPr>
          <w:rtl w:val="0"/>
        </w:rPr>
        <w:t xml:space="preserve">  El modelo es independiente de las herramientas y de la notación utilizada.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Mapas de Navegación:</w:t>
      </w:r>
      <w:r w:rsidDel="00000000" w:rsidR="00000000" w:rsidRPr="00000000">
        <w:rPr>
          <w:rtl w:val="0"/>
        </w:rPr>
        <w:t xml:space="preserve">  Los diagramas deben funcionar como mapas que ayuden a los desarrolladores a navegar por bases de código complejas.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Autodescripción:</w:t>
      </w:r>
      <w:r w:rsidDel="00000000" w:rsidR="00000000" w:rsidRPr="00000000">
        <w:rPr>
          <w:rtl w:val="0"/>
        </w:rPr>
        <w:t xml:space="preserve">  Si se usan "cajas y líneas", deben emplear una notación estructurada y autodescriptiva.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byuwwq477ldt" w:id="13"/>
      <w:bookmarkEnd w:id="13"/>
      <w:r w:rsidDel="00000000" w:rsidR="00000000" w:rsidRPr="00000000">
        <w:rPr>
          <w:rtl w:val="0"/>
        </w:rPr>
        <w:t xml:space="preserve">Citaciones y Máximas Relevantes</w:t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"Implementar ADRs no es una carga, es una inversión a largo plazo." —  </w:t>
      </w:r>
      <w:r w:rsidDel="00000000" w:rsidR="00000000" w:rsidRPr="00000000">
        <w:rPr>
          <w:i w:val="1"/>
          <w:iCs w:val="1"/>
          <w:rtl w:val="0"/>
        </w:rPr>
        <w:t xml:space="preserve">Sergio Vergara, ITDO.</w:t>
      </w:r>
      <w:r w:rsidDel="00000000" w:rsidR="00000000" w:rsidRPr="00000000">
        <w:rPr>
          <w:rtl w:val="0"/>
        </w:rPr>
        <w:t xml:space="preserve">"La diferencia entre los modelos de arquitectura y el código fuente es la brecha modelo-código... los modelos ayudan a razonar sobre la complejidad porque son abstractos; el código se ejecuta porque es concreto." —  </w:t>
      </w:r>
      <w:r w:rsidDel="00000000" w:rsidR="00000000" w:rsidRPr="00000000">
        <w:rPr>
          <w:i w:val="1"/>
          <w:iCs w:val="1"/>
          <w:rtl w:val="0"/>
        </w:rPr>
        <w:t xml:space="preserve">Simon Brown / George Fairbanks.</w:t>
      </w:r>
      <w:r w:rsidDel="00000000" w:rsidR="00000000" w:rsidRPr="00000000">
        <w:rPr>
          <w:rtl w:val="0"/>
        </w:rPr>
        <w:t xml:space="preserve">"Un diagrama de flujo de datos aporta claridad al enfocarse en cómo viaja la información, no solo en dónde reside." —  </w:t>
      </w:r>
      <w:r w:rsidDel="00000000" w:rsidR="00000000" w:rsidRPr="00000000">
        <w:rPr>
          <w:i w:val="1"/>
          <w:iCs w:val="1"/>
          <w:rtl w:val="0"/>
        </w:rPr>
        <w:t xml:space="preserve">Brooks Patterson, RudderStack.</w:t>
      </w:r>
      <w:r w:rsidDel="00000000" w:rsidR="00000000" w:rsidRPr="00000000">
        <w:rPr>
          <w:rtl w:val="0"/>
        </w:rPr>
        <w:t xml:space="preserve">"Moverse rápido en la misma dirección como equipo requiere una buena comunicación." —  </w:t>
      </w:r>
      <w:r w:rsidDel="00000000" w:rsidR="00000000" w:rsidRPr="00000000">
        <w:rPr>
          <w:i w:val="1"/>
          <w:iCs w:val="1"/>
          <w:rtl w:val="0"/>
        </w:rPr>
        <w:t xml:space="preserve">Simon Brown.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