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q11uunj5xv9e" w:id="0"/>
      <w:bookmarkEnd w:id="0"/>
      <w:r w:rsidDel="00000000" w:rsidR="00000000" w:rsidRPr="00000000">
        <w:rPr>
          <w:rtl w:val="0"/>
        </w:rPr>
        <w:t xml:space="preserve">Translations formal specification 0.99.2</w:t>
      </w:r>
    </w:p>
    <w:p w:rsidR="00000000" w:rsidDel="00000000" w:rsidP="00000000" w:rsidRDefault="00000000" w:rsidRPr="00000000" w14:paraId="00000002">
      <w:pPr>
        <w:rPr/>
      </w:pPr>
      <w:r w:rsidDel="00000000" w:rsidR="00000000" w:rsidRPr="00000000">
        <w:rPr>
          <w:rtl w:val="0"/>
        </w:rPr>
        <w:t xml:space="preserve">Translations from one palette range to another have always been hardcoded into the Doom engine, but only specifically for players 2-4 in a multiplayer match. This specification details a way of defining translation tables through data, as well as a few other handy things to have when dealing with multiplayer matches.</w:t>
      </w:r>
    </w:p>
    <w:p w:rsidR="00000000" w:rsidDel="00000000" w:rsidP="00000000" w:rsidRDefault="00000000" w:rsidRPr="00000000" w14:paraId="00000003">
      <w:pPr>
        <w:pStyle w:val="Heading3"/>
        <w:rPr/>
      </w:pPr>
      <w:bookmarkStart w:colFirst="0" w:colLast="0" w:name="_4pees1x3fhtx" w:id="1"/>
      <w:bookmarkEnd w:id="1"/>
      <w:r w:rsidDel="00000000" w:rsidR="00000000" w:rsidRPr="00000000">
        <w:rPr>
          <w:rtl w:val="0"/>
        </w:rPr>
        <w:t xml:space="preserve">JSON lump</w:t>
      </w:r>
    </w:p>
    <w:p w:rsidR="00000000" w:rsidDel="00000000" w:rsidP="00000000" w:rsidRDefault="00000000" w:rsidRPr="00000000" w14:paraId="00000004">
      <w:pPr>
        <w:rPr/>
      </w:pPr>
      <w:r w:rsidDel="00000000" w:rsidR="00000000" w:rsidRPr="00000000">
        <w:rPr>
          <w:rtl w:val="0"/>
        </w:rPr>
        <w:t xml:space="preserve">This specification uses the JSON Lump 1.0.0 formal specification as the root of its data storage, with a type of “</w:t>
      </w:r>
      <w:r w:rsidDel="00000000" w:rsidR="00000000" w:rsidRPr="00000000">
        <w:rPr>
          <w:rFonts w:ascii="Courier New" w:cs="Courier New" w:eastAsia="Courier New" w:hAnsi="Courier New"/>
          <w:b w:val="1"/>
          <w:rtl w:val="0"/>
        </w:rPr>
        <w:t xml:space="preserve">translation</w:t>
      </w:r>
      <w:r w:rsidDel="00000000" w:rsidR="00000000" w:rsidRPr="00000000">
        <w:rPr>
          <w:rtl w:val="0"/>
        </w:rPr>
        <w:t xml:space="preserve">” and a version of “</w:t>
      </w:r>
      <w:r w:rsidDel="00000000" w:rsidR="00000000" w:rsidRPr="00000000">
        <w:rPr>
          <w:rFonts w:ascii="Courier New" w:cs="Courier New" w:eastAsia="Courier New" w:hAnsi="Courier New"/>
          <w:b w:val="1"/>
          <w:rtl w:val="0"/>
        </w:rPr>
        <w:t xml:space="preserve">1.0.0</w:t>
      </w:r>
      <w:r w:rsidDel="00000000" w:rsidR="00000000" w:rsidRPr="00000000">
        <w:rPr>
          <w:rtl w:val="0"/>
        </w:rPr>
        <w:t xml:space="preserve">”.</w:t>
      </w:r>
    </w:p>
    <w:p w:rsidR="00000000" w:rsidDel="00000000" w:rsidP="00000000" w:rsidRDefault="00000000" w:rsidRPr="00000000" w14:paraId="00000005">
      <w:pPr>
        <w:pStyle w:val="Heading3"/>
        <w:rPr/>
      </w:pPr>
      <w:bookmarkStart w:colFirst="0" w:colLast="0" w:name="_q1rx5dye7lj8" w:id="2"/>
      <w:bookmarkEnd w:id="2"/>
      <w:r w:rsidDel="00000000" w:rsidR="00000000" w:rsidRPr="00000000">
        <w:rPr>
          <w:rtl w:val="0"/>
        </w:rPr>
        <w:t xml:space="preserve">Minimum engine featureset</w:t>
      </w:r>
    </w:p>
    <w:p w:rsidR="00000000" w:rsidDel="00000000" w:rsidP="00000000" w:rsidRDefault="00000000" w:rsidRPr="00000000" w14:paraId="00000006">
      <w:pPr>
        <w:rPr/>
      </w:pPr>
      <w:r w:rsidDel="00000000" w:rsidR="00000000" w:rsidRPr="00000000">
        <w:rPr>
          <w:rtl w:val="0"/>
        </w:rPr>
        <w:t xml:space="preserve">This specification applies to any </w:t>
      </w:r>
      <w:r w:rsidDel="00000000" w:rsidR="00000000" w:rsidRPr="00000000">
        <w:rPr>
          <w:b w:val="1"/>
          <w:rtl w:val="0"/>
        </w:rPr>
        <w:t xml:space="preserve">limit-removing</w:t>
      </w:r>
      <w:r w:rsidDel="00000000" w:rsidR="00000000" w:rsidRPr="00000000">
        <w:rPr>
          <w:rtl w:val="0"/>
        </w:rPr>
        <w:t xml:space="preserve"> featureset or greater. While it is optional for other valid featuresets, it is a requirement of the </w:t>
      </w:r>
      <w:r w:rsidDel="00000000" w:rsidR="00000000" w:rsidRPr="00000000">
        <w:rPr>
          <w:b w:val="1"/>
          <w:rtl w:val="0"/>
        </w:rPr>
        <w:t xml:space="preserve">ID24</w:t>
      </w:r>
      <w:r w:rsidDel="00000000" w:rsidR="00000000" w:rsidRPr="00000000">
        <w:rPr>
          <w:rtl w:val="0"/>
        </w:rPr>
        <w:t xml:space="preserve"> featureset.</w:t>
      </w:r>
    </w:p>
    <w:p w:rsidR="00000000" w:rsidDel="00000000" w:rsidP="00000000" w:rsidRDefault="00000000" w:rsidRPr="00000000" w14:paraId="00000007">
      <w:pPr>
        <w:pStyle w:val="Heading3"/>
        <w:rPr/>
      </w:pPr>
      <w:bookmarkStart w:colFirst="0" w:colLast="0" w:name="_byyp25chdn7p" w:id="3"/>
      <w:bookmarkEnd w:id="3"/>
      <w:r w:rsidDel="00000000" w:rsidR="00000000" w:rsidRPr="00000000">
        <w:rPr>
          <w:rtl w:val="0"/>
        </w:rPr>
        <w:t xml:space="preserve">The translation table</w:t>
      </w:r>
    </w:p>
    <w:p w:rsidR="00000000" w:rsidDel="00000000" w:rsidP="00000000" w:rsidRDefault="00000000" w:rsidRPr="00000000" w14:paraId="00000008">
      <w:pPr>
        <w:rPr/>
      </w:pPr>
      <w:r w:rsidDel="00000000" w:rsidR="00000000" w:rsidRPr="00000000">
        <w:rPr>
          <w:rtl w:val="0"/>
        </w:rPr>
        <w:t xml:space="preserve">The table field is a literal lookup table from one palette index to another. As such, the table must be exactly 256 entries or else it is considered an error condition.</w:t>
      </w:r>
    </w:p>
    <w:p w:rsidR="00000000" w:rsidDel="00000000" w:rsidP="00000000" w:rsidRDefault="00000000" w:rsidRPr="00000000" w14:paraId="00000009">
      <w:pPr>
        <w:pStyle w:val="Heading3"/>
        <w:rPr/>
      </w:pPr>
      <w:bookmarkStart w:colFirst="0" w:colLast="0" w:name="_we1r4gqu79pt" w:id="4"/>
      <w:bookmarkEnd w:id="4"/>
      <w:r w:rsidDel="00000000" w:rsidR="00000000" w:rsidRPr="00000000">
        <w:rPr>
          <w:rtl w:val="0"/>
        </w:rPr>
        <w:t xml:space="preserve">Built-in translations</w:t>
      </w:r>
    </w:p>
    <w:p w:rsidR="00000000" w:rsidDel="00000000" w:rsidP="00000000" w:rsidRDefault="00000000" w:rsidRPr="00000000" w14:paraId="0000000A">
      <w:pPr>
        <w:rPr/>
      </w:pPr>
      <w:r w:rsidDel="00000000" w:rsidR="00000000" w:rsidRPr="00000000">
        <w:rPr>
          <w:rtl w:val="0"/>
        </w:rPr>
        <w:t xml:space="preserve">To replicate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functionality, the following built-in translations exist for player sprites:</w:t>
      </w:r>
    </w:p>
    <w:p w:rsidR="00000000" w:rsidDel="00000000" w:rsidP="00000000" w:rsidRDefault="00000000" w:rsidRPr="00000000" w14:paraId="0000000B">
      <w:pPr>
        <w:numPr>
          <w:ilvl w:val="0"/>
          <w:numId w:val="3"/>
        </w:numPr>
        <w:spacing w:after="0" w:afterAutospacing="0"/>
        <w:ind w:left="720" w:hanging="360"/>
        <w:rPr>
          <w:u w:val="none"/>
        </w:rPr>
      </w:pPr>
      <w:r w:rsidDel="00000000" w:rsidR="00000000" w:rsidRPr="00000000">
        <w:rPr>
          <w:rtl w:val="0"/>
        </w:rPr>
        <w:t xml:space="preserve">T_GREEN</w:t>
      </w:r>
    </w:p>
    <w:p w:rsidR="00000000" w:rsidDel="00000000" w:rsidP="00000000" w:rsidRDefault="00000000" w:rsidRPr="00000000" w14:paraId="0000000C">
      <w:pPr>
        <w:numPr>
          <w:ilvl w:val="0"/>
          <w:numId w:val="3"/>
        </w:numPr>
        <w:spacing w:after="0" w:afterAutospacing="0"/>
        <w:ind w:left="720" w:hanging="360"/>
        <w:rPr>
          <w:u w:val="none"/>
        </w:rPr>
      </w:pPr>
      <w:r w:rsidDel="00000000" w:rsidR="00000000" w:rsidRPr="00000000">
        <w:rPr>
          <w:rtl w:val="0"/>
        </w:rPr>
        <w:t xml:space="preserve">T_INDIGO</w:t>
      </w:r>
    </w:p>
    <w:p w:rsidR="00000000" w:rsidDel="00000000" w:rsidP="00000000" w:rsidRDefault="00000000" w:rsidRPr="00000000" w14:paraId="0000000D">
      <w:pPr>
        <w:numPr>
          <w:ilvl w:val="0"/>
          <w:numId w:val="3"/>
        </w:numPr>
        <w:spacing w:after="0" w:afterAutospacing="0"/>
        <w:ind w:left="720" w:hanging="360"/>
        <w:rPr>
          <w:u w:val="none"/>
        </w:rPr>
      </w:pPr>
      <w:r w:rsidDel="00000000" w:rsidR="00000000" w:rsidRPr="00000000">
        <w:rPr>
          <w:rtl w:val="0"/>
        </w:rPr>
        <w:t xml:space="preserve">T_BROWN</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T_RED</w:t>
      </w:r>
    </w:p>
    <w:p w:rsidR="00000000" w:rsidDel="00000000" w:rsidP="00000000" w:rsidRDefault="00000000" w:rsidRPr="00000000" w14:paraId="0000000F">
      <w:pPr>
        <w:rPr/>
      </w:pPr>
      <w:r w:rsidDel="00000000" w:rsidR="00000000" w:rsidRPr="00000000">
        <w:rPr>
          <w:rtl w:val="0"/>
        </w:rPr>
        <w:t xml:space="preserve">These can be overridden by a lump found in the WAD dictionary following normal lump resolution rules.</w:t>
      </w:r>
    </w:p>
    <w:p w:rsidR="00000000" w:rsidDel="00000000" w:rsidP="00000000" w:rsidRDefault="00000000" w:rsidRPr="00000000" w14:paraId="00000010">
      <w:pPr>
        <w:rPr/>
      </w:pPr>
      <w:r w:rsidDel="00000000" w:rsidR="00000000" w:rsidRPr="00000000">
        <w:rPr>
          <w:rtl w:val="0"/>
        </w:rPr>
        <w:t xml:space="preserve">In addition, four extra translations are built-in. While matching the ranges defined for these translations is not a requirement of this specification, for reference the ranges they remap to are included below:</w:t>
      </w:r>
    </w:p>
    <w:p w:rsidR="00000000" w:rsidDel="00000000" w:rsidP="00000000" w:rsidRDefault="00000000" w:rsidRPr="00000000" w14:paraId="00000011">
      <w:pPr>
        <w:numPr>
          <w:ilvl w:val="0"/>
          <w:numId w:val="2"/>
        </w:numPr>
        <w:spacing w:after="0" w:afterAutospacing="0"/>
        <w:ind w:left="720" w:hanging="360"/>
        <w:rPr>
          <w:u w:val="none"/>
        </w:rPr>
      </w:pPr>
      <w:r w:rsidDel="00000000" w:rsidR="00000000" w:rsidRPr="00000000">
        <w:rPr>
          <w:rtl w:val="0"/>
        </w:rPr>
        <w:t xml:space="preserve">T_YELLOW - index 160 to 167</w:t>
      </w:r>
    </w:p>
    <w:p w:rsidR="00000000" w:rsidDel="00000000" w:rsidP="00000000" w:rsidRDefault="00000000" w:rsidRPr="00000000" w14:paraId="00000012">
      <w:pPr>
        <w:numPr>
          <w:ilvl w:val="0"/>
          <w:numId w:val="2"/>
        </w:numPr>
        <w:spacing w:after="0" w:afterAutospacing="0"/>
        <w:ind w:left="720" w:hanging="360"/>
        <w:rPr>
          <w:u w:val="none"/>
        </w:rPr>
      </w:pPr>
      <w:r w:rsidDel="00000000" w:rsidR="00000000" w:rsidRPr="00000000">
        <w:rPr>
          <w:rtl w:val="0"/>
        </w:rPr>
        <w:t xml:space="preserve">T_BLUE - index 196 to 207</w:t>
      </w:r>
    </w:p>
    <w:p w:rsidR="00000000" w:rsidDel="00000000" w:rsidP="00000000" w:rsidRDefault="00000000" w:rsidRPr="00000000" w14:paraId="00000013">
      <w:pPr>
        <w:numPr>
          <w:ilvl w:val="0"/>
          <w:numId w:val="2"/>
        </w:numPr>
        <w:spacing w:after="0" w:afterAutospacing="0"/>
        <w:ind w:left="720" w:hanging="360"/>
        <w:rPr>
          <w:u w:val="none"/>
        </w:rPr>
      </w:pPr>
      <w:r w:rsidDel="00000000" w:rsidR="00000000" w:rsidRPr="00000000">
        <w:rPr>
          <w:rtl w:val="0"/>
        </w:rPr>
        <w:t xml:space="preserve">T_NAVY - index 240 to 247</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T_MAGENTA - index 250 to 255</w:t>
      </w:r>
    </w:p>
    <w:p w:rsidR="00000000" w:rsidDel="00000000" w:rsidP="00000000" w:rsidRDefault="00000000" w:rsidRPr="00000000" w14:paraId="00000015">
      <w:pPr>
        <w:rPr/>
      </w:pPr>
      <w:r w:rsidDel="00000000" w:rsidR="00000000" w:rsidRPr="00000000">
        <w:rPr>
          <w:rtl w:val="0"/>
        </w:rPr>
        <w:t xml:space="preserve">The default tables define the </w:t>
      </w:r>
      <w:r w:rsidDel="00000000" w:rsidR="00000000" w:rsidRPr="00000000">
        <w:rPr>
          <w:rFonts w:ascii="Courier New" w:cs="Courier New" w:eastAsia="Courier New" w:hAnsi="Courier New"/>
          <w:b w:val="1"/>
          <w:rtl w:val="0"/>
        </w:rPr>
        <w:t xml:space="preserve">sbarback</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interback</w:t>
      </w:r>
      <w:r w:rsidDel="00000000" w:rsidR="00000000" w:rsidRPr="00000000">
        <w:rPr>
          <w:rtl w:val="0"/>
        </w:rPr>
        <w:t xml:space="preserve">, and the </w:t>
      </w:r>
      <w:r w:rsidDel="00000000" w:rsidR="00000000" w:rsidRPr="00000000">
        <w:rPr>
          <w:rFonts w:ascii="Courier New" w:cs="Courier New" w:eastAsia="Courier New" w:hAnsi="Courier New"/>
          <w:b w:val="1"/>
          <w:rtl w:val="0"/>
        </w:rPr>
        <w:t xml:space="preserve">table</w:t>
      </w:r>
      <w:r w:rsidDel="00000000" w:rsidR="00000000" w:rsidRPr="00000000">
        <w:rPr>
          <w:rtl w:val="0"/>
        </w:rPr>
        <w:t xml:space="preserve"> fields to their </w:t>
      </w:r>
      <w:r w:rsidDel="00000000" w:rsidR="00000000" w:rsidRPr="00000000">
        <w:rPr>
          <w:rFonts w:ascii="Consolas" w:cs="Consolas" w:eastAsia="Consolas" w:hAnsi="Consolas"/>
          <w:b w:val="1"/>
          <w:rtl w:val="0"/>
        </w:rPr>
        <w:t xml:space="preserve">doom1.9</w:t>
      </w:r>
      <w:r w:rsidDel="00000000" w:rsidR="00000000" w:rsidRPr="00000000">
        <w:rPr>
          <w:rtl w:val="0"/>
        </w:rPr>
        <w:t xml:space="preserve"> equivalents (with the extra translations using the T_GREEN background and translated with the defined table at render time), with the order of entries defined above corresponding to both player numbers and the order of lumps resolved for multiplayer purposes.</w:t>
      </w:r>
    </w:p>
    <w:p w:rsidR="00000000" w:rsidDel="00000000" w:rsidP="00000000" w:rsidRDefault="00000000" w:rsidRPr="00000000" w14:paraId="00000016">
      <w:pPr>
        <w:pStyle w:val="Heading3"/>
        <w:rPr/>
      </w:pPr>
      <w:bookmarkStart w:colFirst="0" w:colLast="0" w:name="_3c1ra15wk45f" w:id="5"/>
      <w:bookmarkEnd w:id="5"/>
      <w:r w:rsidDel="00000000" w:rsidR="00000000" w:rsidRPr="00000000">
        <w:rPr>
          <w:rtl w:val="0"/>
        </w:rPr>
        <w:t xml:space="preserve">Translation initialisation order</w:t>
      </w:r>
    </w:p>
    <w:p w:rsidR="00000000" w:rsidDel="00000000" w:rsidP="00000000" w:rsidRDefault="00000000" w:rsidRPr="00000000" w14:paraId="00000017">
      <w:pPr>
        <w:rPr/>
      </w:pPr>
      <w:r w:rsidDel="00000000" w:rsidR="00000000" w:rsidRPr="00000000">
        <w:rPr>
          <w:rtl w:val="0"/>
        </w:rPr>
        <w:t xml:space="preserve">Translation lumps are loaded in at renderer initialisation. They are added to the translation lookup table in the following order:</w:t>
      </w:r>
    </w:p>
    <w:p w:rsidR="00000000" w:rsidDel="00000000" w:rsidP="00000000" w:rsidRDefault="00000000" w:rsidRPr="00000000" w14:paraId="00000018">
      <w:pPr>
        <w:numPr>
          <w:ilvl w:val="0"/>
          <w:numId w:val="1"/>
        </w:numPr>
        <w:spacing w:after="0" w:afterAutospacing="0"/>
        <w:ind w:left="720" w:hanging="360"/>
      </w:pPr>
      <w:r w:rsidDel="00000000" w:rsidR="00000000" w:rsidRPr="00000000">
        <w:rPr>
          <w:rtl w:val="0"/>
        </w:rPr>
        <w:t xml:space="preserve">Lumps defined by </w:t>
      </w:r>
      <w:r w:rsidDel="00000000" w:rsidR="00000000" w:rsidRPr="00000000">
        <w:rPr>
          <w:rFonts w:ascii="Courier New" w:cs="Courier New" w:eastAsia="Courier New" w:hAnsi="Courier New"/>
          <w:b w:val="1"/>
          <w:rtl w:val="0"/>
        </w:rPr>
        <w:t xml:space="preserve">Translation</w:t>
      </w:r>
      <w:r w:rsidDel="00000000" w:rsidR="00000000" w:rsidRPr="00000000">
        <w:rPr>
          <w:rtl w:val="0"/>
        </w:rPr>
        <w:t xml:space="preserve"> entries in a thing’s Dehacked entry</w:t>
      </w:r>
    </w:p>
    <w:p w:rsidR="00000000" w:rsidDel="00000000" w:rsidP="00000000" w:rsidRDefault="00000000" w:rsidRPr="00000000" w14:paraId="00000019">
      <w:pPr>
        <w:numPr>
          <w:ilvl w:val="0"/>
          <w:numId w:val="1"/>
        </w:numPr>
        <w:spacing w:after="0" w:afterAutospacing="0"/>
        <w:ind w:left="720" w:hanging="360"/>
      </w:pPr>
      <w:r w:rsidDel="00000000" w:rsidR="00000000" w:rsidRPr="00000000">
        <w:rPr>
          <w:rtl w:val="0"/>
        </w:rPr>
        <w:t xml:space="preserve">Translations defined in the </w:t>
      </w:r>
      <w:r w:rsidDel="00000000" w:rsidR="00000000" w:rsidRPr="00000000">
        <w:rPr>
          <w:rFonts w:ascii="Courier New" w:cs="Courier New" w:eastAsia="Courier New" w:hAnsi="Courier New"/>
          <w:b w:val="1"/>
          <w:rtl w:val="0"/>
        </w:rPr>
        <w:t xml:space="preserve">playertranslations</w:t>
      </w:r>
      <w:r w:rsidDel="00000000" w:rsidR="00000000" w:rsidRPr="00000000">
        <w:rPr>
          <w:rtl w:val="0"/>
        </w:rPr>
        <w:t xml:space="preserve"> field in GAMECONF</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Built-in tables that have not been previously loaded as a lump</w:t>
      </w:r>
    </w:p>
    <w:p w:rsidR="00000000" w:rsidDel="00000000" w:rsidP="00000000" w:rsidRDefault="00000000" w:rsidRPr="00000000" w14:paraId="0000001B">
      <w:pPr>
        <w:pStyle w:val="Heading3"/>
        <w:rPr/>
      </w:pPr>
      <w:bookmarkStart w:colFirst="0" w:colLast="0" w:name="_yg14wqoab2uy" w:id="6"/>
      <w:bookmarkEnd w:id="6"/>
      <w:r w:rsidDel="00000000" w:rsidR="00000000" w:rsidRPr="00000000">
        <w:rPr>
          <w:rtl w:val="0"/>
        </w:rPr>
        <w:t xml:space="preserve">Player translations</w:t>
      </w:r>
    </w:p>
    <w:p w:rsidR="00000000" w:rsidDel="00000000" w:rsidP="00000000" w:rsidRDefault="00000000" w:rsidRPr="00000000" w14:paraId="0000001C">
      <w:pPr>
        <w:rPr/>
      </w:pPr>
      <w:r w:rsidDel="00000000" w:rsidR="00000000" w:rsidRPr="00000000">
        <w:rPr>
          <w:rtl w:val="0"/>
        </w:rPr>
        <w:t xml:space="preserve">Player translations are defined by the GAMECONF </w:t>
      </w:r>
      <w:r w:rsidDel="00000000" w:rsidR="00000000" w:rsidRPr="00000000">
        <w:rPr>
          <w:rFonts w:ascii="Courier New" w:cs="Courier New" w:eastAsia="Courier New" w:hAnsi="Courier New"/>
          <w:b w:val="1"/>
          <w:rtl w:val="0"/>
        </w:rPr>
        <w:t xml:space="preserve">playertranslations</w:t>
      </w:r>
      <w:r w:rsidDel="00000000" w:rsidR="00000000" w:rsidRPr="00000000">
        <w:rPr>
          <w:rtl w:val="0"/>
        </w:rPr>
        <w:t xml:space="preserve"> table. If this is undefined by data, a default table comprised of the built-in translations in the order specified above will be inserted into the active GAMECONF.</w:t>
      </w:r>
    </w:p>
    <w:p w:rsidR="00000000" w:rsidDel="00000000" w:rsidP="00000000" w:rsidRDefault="00000000" w:rsidRPr="00000000" w14:paraId="0000001D">
      <w:pPr>
        <w:rPr/>
      </w:pPr>
      <w:r w:rsidDel="00000000" w:rsidR="00000000" w:rsidRPr="00000000">
        <w:rPr>
          <w:rtl w:val="0"/>
        </w:rPr>
        <w:t xml:space="preserve">All player things will always have a valid translation table. A default implementation can be achieved with the following formula:</w:t>
      </w:r>
    </w:p>
    <w:p w:rsidR="00000000" w:rsidDel="00000000" w:rsidP="00000000" w:rsidRDefault="00000000" w:rsidRPr="00000000" w14:paraId="0000001E">
      <w:pPr>
        <w:rPr>
          <w:rFonts w:ascii="Consolas" w:cs="Consolas" w:eastAsia="Consolas" w:hAnsi="Consolas"/>
        </w:rPr>
      </w:pPr>
      <w:r w:rsidDel="00000000" w:rsidR="00000000" w:rsidRPr="00000000">
        <w:rPr>
          <w:rFonts w:ascii="Consolas" w:cs="Consolas" w:eastAsia="Consolas" w:hAnsi="Consolas"/>
          <w:rtl w:val="0"/>
        </w:rPr>
        <w:t xml:space="preserve">translation = playertranslations[ playernum % &lt;playertranslations count&gt; ];</w:t>
      </w:r>
    </w:p>
    <w:p w:rsidR="00000000" w:rsidDel="00000000" w:rsidP="00000000" w:rsidRDefault="00000000" w:rsidRPr="00000000" w14:paraId="0000001F">
      <w:pPr>
        <w:rPr/>
      </w:pPr>
      <w:r w:rsidDel="00000000" w:rsidR="00000000" w:rsidRPr="00000000">
        <w:rPr>
          <w:rtl w:val="0"/>
        </w:rPr>
        <w:t xml:space="preserve">This default implementation can be overridden by however a port chooses to implement player preferences.</w:t>
      </w:r>
      <w:r w:rsidDel="00000000" w:rsidR="00000000" w:rsidRPr="00000000">
        <w:rPr>
          <w:rtl w:val="0"/>
        </w:rPr>
      </w:r>
    </w:p>
    <w:p w:rsidR="00000000" w:rsidDel="00000000" w:rsidP="00000000" w:rsidRDefault="00000000" w:rsidRPr="00000000" w14:paraId="00000020">
      <w:pPr>
        <w:pStyle w:val="Heading3"/>
        <w:rPr/>
      </w:pPr>
      <w:bookmarkStart w:colFirst="0" w:colLast="0" w:name="_oszd08j7ze0a" w:id="7"/>
      <w:bookmarkEnd w:id="7"/>
      <w:r w:rsidDel="00000000" w:rsidR="00000000" w:rsidRPr="00000000">
        <w:rPr>
          <w:rtl w:val="0"/>
        </w:rPr>
        <w:t xml:space="preserve">Thing flags indicating translations</w:t>
      </w:r>
    </w:p>
    <w:p w:rsidR="00000000" w:rsidDel="00000000" w:rsidP="00000000" w:rsidRDefault="00000000" w:rsidRPr="00000000" w14:paraId="00000021">
      <w:pPr>
        <w:rPr/>
      </w:pPr>
      <w:r w:rsidDel="00000000" w:rsidR="00000000" w:rsidRPr="00000000">
        <w:rPr>
          <w:rtl w:val="0"/>
        </w:rPr>
        <w:t xml:space="preserve">Any thing that has the MF_TRANSLATION field set in its mobjinfo_t flags and does not have its </w:t>
      </w:r>
      <w:r w:rsidDel="00000000" w:rsidR="00000000" w:rsidRPr="00000000">
        <w:rPr>
          <w:rFonts w:ascii="Courier New" w:cs="Courier New" w:eastAsia="Courier New" w:hAnsi="Courier New"/>
          <w:b w:val="1"/>
          <w:rtl w:val="0"/>
        </w:rPr>
        <w:t xml:space="preserve">Translation</w:t>
      </w:r>
      <w:r w:rsidDel="00000000" w:rsidR="00000000" w:rsidRPr="00000000">
        <w:rPr>
          <w:rtl w:val="0"/>
        </w:rPr>
        <w:t xml:space="preserve"> field set must resolve its translation from the </w:t>
      </w:r>
      <w:r w:rsidDel="00000000" w:rsidR="00000000" w:rsidRPr="00000000">
        <w:rPr>
          <w:rFonts w:ascii="Courier New" w:cs="Courier New" w:eastAsia="Courier New" w:hAnsi="Courier New"/>
          <w:b w:val="1"/>
          <w:rtl w:val="0"/>
        </w:rPr>
        <w:t xml:space="preserve">playertranslations</w:t>
      </w:r>
      <w:r w:rsidDel="00000000" w:rsidR="00000000" w:rsidRPr="00000000">
        <w:rPr>
          <w:rtl w:val="0"/>
        </w:rPr>
        <w:t xml:space="preserve"> table.</w:t>
      </w:r>
    </w:p>
    <w:p w:rsidR="00000000" w:rsidDel="00000000" w:rsidP="00000000" w:rsidRDefault="00000000" w:rsidRPr="00000000" w14:paraId="00000022">
      <w:pPr>
        <w:pStyle w:val="Heading3"/>
        <w:rPr/>
      </w:pPr>
      <w:bookmarkStart w:colFirst="0" w:colLast="0" w:name="_yi9m8jta5ynv" w:id="8"/>
      <w:bookmarkEnd w:id="8"/>
      <w:r w:rsidDel="00000000" w:rsidR="00000000" w:rsidRPr="00000000">
        <w:rPr>
          <w:rtl w:val="0"/>
        </w:rPr>
        <w:t xml:space="preserve">Guidelines for editor authors</w:t>
      </w:r>
    </w:p>
    <w:p w:rsidR="00000000" w:rsidDel="00000000" w:rsidP="00000000" w:rsidRDefault="00000000" w:rsidRPr="00000000" w14:paraId="00000023">
      <w:pPr>
        <w:rPr/>
      </w:pPr>
      <w:r w:rsidDel="00000000" w:rsidR="00000000" w:rsidRPr="00000000">
        <w:rPr>
          <w:rtl w:val="0"/>
        </w:rPr>
        <w:t xml:space="preserve">It is anticipated that users will want to use </w:t>
      </w:r>
      <w:hyperlink r:id="rId6">
        <w:r w:rsidDel="00000000" w:rsidR="00000000" w:rsidRPr="00000000">
          <w:rPr>
            <w:color w:val="1155cc"/>
            <w:u w:val="single"/>
            <w:rtl w:val="0"/>
          </w:rPr>
          <w:t xml:space="preserve">ZDoom style translations</w:t>
        </w:r>
      </w:hyperlink>
      <w:r w:rsidDel="00000000" w:rsidR="00000000" w:rsidRPr="00000000">
        <w:rPr>
          <w:rtl w:val="0"/>
        </w:rPr>
        <w:t xml:space="preserve"> when creating their translation lumps. However, all lump specifications in the RNR24 feature suite have been designed to be reflections of data as opposed to command lists. As such, it is recommended that editors use the metadata field of a JSON lump to store ZDoom translation information and apply it to the table field on modification/save.</w:t>
      </w:r>
    </w:p>
    <w:p w:rsidR="00000000" w:rsidDel="00000000" w:rsidP="00000000" w:rsidRDefault="00000000" w:rsidRPr="00000000" w14:paraId="00000024">
      <w:pPr>
        <w:rPr/>
      </w:pPr>
      <w:r w:rsidDel="00000000" w:rsidR="00000000" w:rsidRPr="00000000">
        <w:rPr>
          <w:rtl w:val="0"/>
        </w:rPr>
        <w:t xml:space="preserve">Note that being palette based, any true colour translations should map to the closest colour found in the palette.</w:t>
      </w:r>
      <w:r w:rsidDel="00000000" w:rsidR="00000000" w:rsidRPr="00000000">
        <w:rPr>
          <w:rtl w:val="0"/>
        </w:rPr>
      </w:r>
    </w:p>
    <w:p w:rsidR="00000000" w:rsidDel="00000000" w:rsidP="00000000" w:rsidRDefault="00000000" w:rsidRPr="00000000" w14:paraId="00000025">
      <w:pPr>
        <w:pStyle w:val="Heading3"/>
        <w:rPr/>
      </w:pPr>
      <w:bookmarkStart w:colFirst="0" w:colLast="0" w:name="_r7s38qsgcadr" w:id="9"/>
      <w:bookmarkEnd w:id="9"/>
      <w:r w:rsidDel="00000000" w:rsidR="00000000" w:rsidRPr="00000000">
        <w:rPr>
          <w:rtl w:val="0"/>
        </w:rPr>
        <w:t xml:space="preserve">Data type definitions</w:t>
      </w:r>
    </w:p>
    <w:p w:rsidR="00000000" w:rsidDel="00000000" w:rsidP="00000000" w:rsidRDefault="00000000" w:rsidRPr="00000000" w14:paraId="00000026">
      <w:pPr>
        <w:pStyle w:val="Heading5"/>
        <w:rPr/>
      </w:pPr>
      <w:bookmarkStart w:colFirst="0" w:colLast="0" w:name="_twgstjfttu4c" w:id="10"/>
      <w:bookmarkEnd w:id="10"/>
      <w:r w:rsidDel="00000000" w:rsidR="00000000" w:rsidRPr="00000000">
        <w:rPr>
          <w:rtl w:val="0"/>
        </w:rPr>
        <w:t xml:space="preserve">root</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470"/>
        <w:gridCol w:w="5325"/>
        <w:tblGridChange w:id="0">
          <w:tblGrid>
            <w:gridCol w:w="2205"/>
            <w:gridCol w:w="1470"/>
            <w:gridCol w:w="53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Name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Consolas" w:cs="Consolas" w:eastAsia="Consolas" w:hAnsi="Consolas"/>
              </w:rPr>
            </w:pPr>
            <w:r w:rsidDel="00000000" w:rsidR="00000000" w:rsidRPr="00000000">
              <w:rPr>
                <w:rFonts w:ascii="Consolas" w:cs="Consolas" w:eastAsia="Consolas" w:hAnsi="Consolas"/>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Consolas" w:cs="Consolas" w:eastAsia="Consolas" w:hAnsi="Consolas"/>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pPr>
            <w:r w:rsidDel="00000000" w:rsidR="00000000" w:rsidRPr="00000000">
              <w:rPr>
                <w:rtl w:val="0"/>
              </w:rPr>
              <w:t xml:space="preserve">A dehacked mnemonic representing the name of this translation.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sbarback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Consolas" w:cs="Consolas" w:eastAsia="Consolas" w:hAnsi="Consolas"/>
                <w:b w:val="1"/>
              </w:rPr>
            </w:pPr>
            <w:r w:rsidDel="00000000" w:rsidR="00000000" w:rsidRPr="00000000">
              <w:rPr>
                <w:rtl w:val="0"/>
              </w:rPr>
              <w:t xml:space="preserve">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pPr>
            <w:r w:rsidDel="00000000" w:rsidR="00000000" w:rsidRPr="00000000">
              <w:rPr>
                <w:rtl w:val="0"/>
              </w:rPr>
              <w:t xml:space="preserve">A lump representing the face background on the status bar. Can be null. If this lump does not exist, it is an error 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sbartranslate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Determines if </w:t>
            </w:r>
            <w:r w:rsidDel="00000000" w:rsidR="00000000" w:rsidRPr="00000000">
              <w:rPr>
                <w:rFonts w:ascii="Courier New" w:cs="Courier New" w:eastAsia="Courier New" w:hAnsi="Courier New"/>
                <w:b w:val="1"/>
                <w:rtl w:val="0"/>
              </w:rPr>
              <w:t xml:space="preserve">sbarback</w:t>
            </w:r>
            <w:r w:rsidDel="00000000" w:rsidR="00000000" w:rsidRPr="00000000">
              <w:rPr>
                <w:rtl w:val="0"/>
              </w:rPr>
              <w:t xml:space="preserve"> should use the translation table to render.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pPr>
            <w:r w:rsidDel="00000000" w:rsidR="00000000" w:rsidRPr="00000000">
              <w:rPr>
                <w:rtl w:val="0"/>
              </w:rPr>
              <w:t xml:space="preserve">A lump representing the player background on the interlevel screens. Can be null. If this lump does not exist, it is an error condition.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intertranslate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Determines if </w:t>
            </w:r>
            <w:r w:rsidDel="00000000" w:rsidR="00000000" w:rsidRPr="00000000">
              <w:rPr>
                <w:rFonts w:ascii="Courier New" w:cs="Courier New" w:eastAsia="Courier New" w:hAnsi="Courier New"/>
                <w:b w:val="1"/>
                <w:rtl w:val="0"/>
              </w:rPr>
              <w:t xml:space="preserve">interback</w:t>
            </w:r>
            <w:r w:rsidDel="00000000" w:rsidR="00000000" w:rsidRPr="00000000">
              <w:rPr>
                <w:rtl w:val="0"/>
              </w:rPr>
              <w:t xml:space="preserve"> should use the translation table to render.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array of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An array of translation palette indices. Must be exactly 256 elements; any other length is an error condition.</w:t>
            </w:r>
          </w:p>
        </w:tc>
      </w:tr>
    </w:tbl>
    <w:p w:rsidR="00000000" w:rsidDel="00000000" w:rsidP="00000000" w:rsidRDefault="00000000" w:rsidRPr="00000000" w14:paraId="0000003C">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jc w:val="right"/>
      <w:rPr/>
    </w:pPr>
    <w:hyperlink r:id="rId1">
      <w:r w:rsidDel="00000000" w:rsidR="00000000" w:rsidRPr="00000000">
        <w:rPr>
          <w:color w:val="d14500"/>
          <w:sz w:val="16"/>
          <w:szCs w:val="16"/>
          <w:highlight w:val="white"/>
          <w:rtl w:val="0"/>
        </w:rPr>
        <w:t xml:space="preserve">ID24 Formal Specifications </w:t>
      </w:r>
    </w:hyperlink>
    <w:r w:rsidDel="00000000" w:rsidR="00000000" w:rsidRPr="00000000">
      <w:rPr>
        <w:color w:val="333333"/>
        <w:sz w:val="16"/>
        <w:szCs w:val="16"/>
        <w:highlight w:val="white"/>
        <w:rtl w:val="0"/>
      </w:rPr>
      <w:t xml:space="preserve">is released under </w:t>
    </w:r>
    <w:hyperlink r:id="rId2">
      <w:r w:rsidDel="00000000" w:rsidR="00000000" w:rsidRPr="00000000">
        <w:rPr>
          <w:color w:val="d14500"/>
          <w:sz w:val="16"/>
          <w:szCs w:val="16"/>
          <w:highlight w:val="white"/>
          <w:rtl w:val="0"/>
        </w:rPr>
        <w:t xml:space="preserve">CC0 1.0</w:t>
      </w:r>
    </w:hyperlink>
    <w:hyperlink r:id="rId3">
      <w:r w:rsidDel="00000000" w:rsidR="00000000" w:rsidRPr="00000000">
        <w:rPr>
          <w:color w:val="d14500"/>
          <w:sz w:val="24"/>
          <w:szCs w:val="24"/>
          <w:highlight w:val="white"/>
          <w:rtl w:val="0"/>
        </w:rPr>
        <w:t xml:space="preserve"> </w:t>
      </w:r>
    </w:hyperlink>
    <w:r w:rsidDel="00000000" w:rsidR="00000000" w:rsidRPr="00000000">
      <w:rPr/>
      <w:drawing>
        <wp:inline distB="114300" distT="114300" distL="114300" distR="114300">
          <wp:extent cx="104400" cy="104400"/>
          <wp:effectExtent b="0" l="0" r="0" t="0"/>
          <wp:docPr id="2" name="image2.png"/>
          <a:graphic>
            <a:graphicData uri="http://schemas.openxmlformats.org/drawingml/2006/picture">
              <pic:pic>
                <pic:nvPicPr>
                  <pic:cNvPr id="0" name="image2.png"/>
                  <pic:cNvPicPr preferRelativeResize="0"/>
                </pic:nvPicPr>
                <pic:blipFill>
                  <a:blip r:embed="rId4"/>
                  <a:srcRect b="0" l="0" r="0" t="0"/>
                  <a:stretch>
                    <a:fillRect/>
                  </a:stretch>
                </pic:blipFill>
                <pic:spPr>
                  <a:xfrm>
                    <a:off x="0" y="0"/>
                    <a:ext cx="104400" cy="104400"/>
                  </a:xfrm>
                  <a:prstGeom prst="rect"/>
                  <a:ln/>
                </pic:spPr>
              </pic:pic>
            </a:graphicData>
          </a:graphic>
        </wp:inline>
      </w:drawing>
    </w:r>
    <w:r w:rsidDel="00000000" w:rsidR="00000000" w:rsidRPr="00000000">
      <w:rPr/>
      <w:drawing>
        <wp:inline distB="114300" distT="114300" distL="114300" distR="114300">
          <wp:extent cx="104400" cy="104400"/>
          <wp:effectExtent b="0" l="0" r="0" t="0"/>
          <wp:docPr id="1" name="image1.png"/>
          <a:graphic>
            <a:graphicData uri="http://schemas.openxmlformats.org/drawingml/2006/picture">
              <pic:pic>
                <pic:nvPicPr>
                  <pic:cNvPr id="0" name="image1.png"/>
                  <pic:cNvPicPr preferRelativeResize="0"/>
                </pic:nvPicPr>
                <pic:blipFill>
                  <a:blip r:embed="rId5"/>
                  <a:srcRect b="0" l="0" r="0" t="0"/>
                  <a:stretch>
                    <a:fillRect/>
                  </a:stretch>
                </pic:blipFill>
                <pic:spPr>
                  <a:xfrm>
                    <a:off x="0" y="0"/>
                    <a:ext cx="104400" cy="1044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zdoom.org/wiki/Translation" TargetMode="Externa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drive.google.com/drive/folders/1Vw5fpmR0bVfFeHZ_xamVvn584xXtXp6M?usp=sharing" TargetMode="External"/><Relationship Id="rId2" Type="http://schemas.openxmlformats.org/officeDocument/2006/relationships/hyperlink" Target="https://creativecommons.org/publicdomain/zero/1.0/?ref=chooser-v1" TargetMode="External"/><Relationship Id="rId3" Type="http://schemas.openxmlformats.org/officeDocument/2006/relationships/hyperlink" Target="https://creativecommons.org/publicdomain/zero/1.0/?ref=chooser-v1" TargetMode="External"/><Relationship Id="rId4" Type="http://schemas.openxmlformats.org/officeDocument/2006/relationships/image" Target="media/image2.png"/><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