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E48F5" w14:textId="2E1111CF" w:rsidR="00670273" w:rsidRPr="00E06D45" w:rsidRDefault="00E06D45" w:rsidP="00E06D45">
      <w:pPr>
        <w:jc w:val="center"/>
        <w:rPr>
          <w:sz w:val="36"/>
          <w:szCs w:val="32"/>
          <w:lang w:val="es-419"/>
        </w:rPr>
      </w:pPr>
      <w:r>
        <w:rPr>
          <w:sz w:val="36"/>
          <w:szCs w:val="32"/>
          <w:lang w:val="es-419"/>
        </w:rPr>
        <w:t>RELOPEN</w:t>
      </w:r>
    </w:p>
    <w:p w14:paraId="238C45F2" w14:textId="71B8C5A4" w:rsidR="00E06D45" w:rsidRPr="00E06D45" w:rsidRDefault="00E06D45" w:rsidP="00E06D45">
      <w:pPr>
        <w:jc w:val="center"/>
        <w:rPr>
          <w:sz w:val="36"/>
          <w:szCs w:val="32"/>
          <w:lang w:val="es-419"/>
        </w:rPr>
      </w:pPr>
      <w:r w:rsidRPr="00E06D45">
        <w:rPr>
          <w:sz w:val="36"/>
          <w:szCs w:val="32"/>
          <w:lang w:val="es-419"/>
        </w:rPr>
        <w:t>Software para Regresión Logística</w:t>
      </w:r>
    </w:p>
    <w:p w14:paraId="2DE2EDF3" w14:textId="3D78D850" w:rsidR="00E06D45" w:rsidRPr="00E06D45" w:rsidRDefault="00E06D45" w:rsidP="00E06D45">
      <w:pPr>
        <w:jc w:val="center"/>
        <w:rPr>
          <w:sz w:val="36"/>
          <w:szCs w:val="32"/>
          <w:lang w:val="es-419"/>
        </w:rPr>
      </w:pPr>
      <w:r w:rsidRPr="00E06D45">
        <w:rPr>
          <w:sz w:val="36"/>
          <w:szCs w:val="32"/>
          <w:lang w:val="es-419"/>
        </w:rPr>
        <w:t>para el pronóstico de vejez</w:t>
      </w:r>
    </w:p>
    <w:p w14:paraId="45CE8B8A" w14:textId="77777777" w:rsidR="00E06D45" w:rsidRDefault="00E06D45">
      <w:pPr>
        <w:rPr>
          <w:lang w:val="es-419"/>
        </w:rPr>
      </w:pPr>
    </w:p>
    <w:p w14:paraId="09F5F48D" w14:textId="77777777" w:rsidR="00932BAC" w:rsidRPr="00932BAC" w:rsidRDefault="00932BAC" w:rsidP="00932BAC">
      <w:pPr>
        <w:rPr>
          <w:b/>
          <w:bCs/>
        </w:rPr>
      </w:pPr>
      <w:r w:rsidRPr="00932BAC">
        <w:rPr>
          <w:b/>
          <w:bCs/>
        </w:rPr>
        <w:t>1. Interfaz y Experiencia de Usuario (Flet)</w:t>
      </w:r>
    </w:p>
    <w:p w14:paraId="3F9E231B" w14:textId="77777777" w:rsidR="00932BAC" w:rsidRDefault="00932BAC" w:rsidP="00932BAC"/>
    <w:p w14:paraId="3BB389B5" w14:textId="2ACAC2C1" w:rsidR="00932BAC" w:rsidRDefault="00932BAC" w:rsidP="00932BAC">
      <w:r w:rsidRPr="00932BAC">
        <w:t xml:space="preserve">El componente principal es la aplicación de escritorio main_app.py, que utiliza el </w:t>
      </w:r>
      <w:proofErr w:type="spellStart"/>
      <w:r w:rsidRPr="00932BAC">
        <w:rPr>
          <w:i/>
          <w:iCs/>
        </w:rPr>
        <w:t>framework</w:t>
      </w:r>
      <w:proofErr w:type="spellEnd"/>
      <w:r w:rsidRPr="00932BAC">
        <w:t xml:space="preserve"> </w:t>
      </w:r>
      <w:r w:rsidRPr="00932BAC">
        <w:rPr>
          <w:b/>
          <w:bCs/>
        </w:rPr>
        <w:t>Flet</w:t>
      </w:r>
      <w:r w:rsidRPr="00932BAC">
        <w:t xml:space="preserve"> para crear una interfaz de usuario </w:t>
      </w:r>
      <w:r w:rsidRPr="00932BAC">
        <w:rPr>
          <w:b/>
          <w:bCs/>
        </w:rPr>
        <w:t>multiplataforma</w:t>
      </w:r>
      <w:r w:rsidRPr="00932BAC">
        <w:t xml:space="preserve"> y visualmente organizada. La aplicación actúa como un </w:t>
      </w:r>
      <w:r w:rsidRPr="00932BAC">
        <w:rPr>
          <w:b/>
          <w:bCs/>
        </w:rPr>
        <w:t>lanzador centralizado</w:t>
      </w:r>
      <w:r w:rsidRPr="00932BAC">
        <w:t xml:space="preserve">, permitiendo al usuario navegar a través de diferentes secciones (Inicio, Datos, Gráficos, Modelos) mediante un </w:t>
      </w:r>
      <w:proofErr w:type="spellStart"/>
      <w:r w:rsidRPr="00932BAC">
        <w:t>NavigationRail</w:t>
      </w:r>
      <w:proofErr w:type="spellEnd"/>
      <w:r w:rsidRPr="00932BAC">
        <w:t xml:space="preserve">. Su función principal es simplificar la ejecución de los complejos </w:t>
      </w:r>
      <w:r w:rsidRPr="00932BAC">
        <w:rPr>
          <w:i/>
          <w:iCs/>
        </w:rPr>
        <w:t>scripts</w:t>
      </w:r>
      <w:r w:rsidRPr="00932BAC">
        <w:t xml:space="preserve"> de análisis (los modelos de regresión) y mostrar los resultados de una manera accesible. Esto incluye la gestión de la ejecución de comandos externos con </w:t>
      </w:r>
      <w:proofErr w:type="spellStart"/>
      <w:r w:rsidRPr="00932BAC">
        <w:t>subprocess</w:t>
      </w:r>
      <w:proofErr w:type="spellEnd"/>
      <w:r w:rsidRPr="00932BAC">
        <w:t xml:space="preserve"> y el uso de ventanas modales (</w:t>
      </w:r>
      <w:proofErr w:type="spellStart"/>
      <w:r w:rsidRPr="00932BAC">
        <w:t>dlg_modal</w:t>
      </w:r>
      <w:proofErr w:type="spellEnd"/>
      <w:r w:rsidRPr="00932BAC">
        <w:t>) y barras de notificaciones (</w:t>
      </w:r>
      <w:proofErr w:type="spellStart"/>
      <w:r w:rsidRPr="00932BAC">
        <w:t>snack_bar</w:t>
      </w:r>
      <w:proofErr w:type="spellEnd"/>
      <w:r w:rsidRPr="00932BAC">
        <w:t>) para informar al usuario sobre el progreso y los errores.</w:t>
      </w:r>
    </w:p>
    <w:p w14:paraId="2D44284C" w14:textId="77777777" w:rsidR="00932BAC" w:rsidRPr="00932BAC" w:rsidRDefault="00932BAC" w:rsidP="00932BAC"/>
    <w:p w14:paraId="71B6BF57" w14:textId="77777777" w:rsidR="00932BAC" w:rsidRPr="00932BAC" w:rsidRDefault="00932BAC" w:rsidP="00932BAC">
      <w:pPr>
        <w:rPr>
          <w:b/>
          <w:bCs/>
        </w:rPr>
      </w:pPr>
      <w:r w:rsidRPr="00932BAC">
        <w:rPr>
          <w:b/>
          <w:bCs/>
        </w:rPr>
        <w:t>2. Lógica de Modelado y Análisis (</w:t>
      </w:r>
      <w:r w:rsidRPr="00932BAC">
        <w:rPr>
          <w:b/>
          <w:bCs/>
          <w:i/>
          <w:iCs/>
        </w:rPr>
        <w:t>Machine Learning</w:t>
      </w:r>
      <w:r w:rsidRPr="00932BAC">
        <w:rPr>
          <w:b/>
          <w:bCs/>
        </w:rPr>
        <w:t>)</w:t>
      </w:r>
    </w:p>
    <w:p w14:paraId="0AEA3713" w14:textId="77777777" w:rsidR="008A61EF" w:rsidRDefault="008A61EF" w:rsidP="00932BAC"/>
    <w:p w14:paraId="0AD75D9A" w14:textId="5ECD740E" w:rsidR="00932BAC" w:rsidRPr="00932BAC" w:rsidRDefault="00932BAC" w:rsidP="00932BAC">
      <w:r w:rsidRPr="00932BAC">
        <w:t xml:space="preserve">El núcleo analítico reside en los </w:t>
      </w:r>
      <w:r w:rsidRPr="00932BAC">
        <w:rPr>
          <w:i/>
          <w:iCs/>
        </w:rPr>
        <w:t>scripts</w:t>
      </w:r>
      <w:r w:rsidRPr="00932BAC">
        <w:t xml:space="preserve"> especializados (</w:t>
      </w:r>
      <w:proofErr w:type="spellStart"/>
      <w:r w:rsidRPr="00932BAC">
        <w:t>regrelogi_diabetes</w:t>
      </w:r>
      <w:proofErr w:type="spellEnd"/>
      <w:r w:rsidRPr="00932BAC">
        <w:t xml:space="preserve"> v2.py, regrelogi_estres.py, regrelogi_dinafami.py). Estos archivos se encargan de cargar los datos de la encuesta, crear el </w:t>
      </w:r>
      <w:r w:rsidRPr="00932BAC">
        <w:rPr>
          <w:i/>
          <w:iCs/>
        </w:rPr>
        <w:t>DataFrame</w:t>
      </w:r>
      <w:r w:rsidRPr="00932BAC">
        <w:t xml:space="preserve"> de trabajo y entrenar modelos de </w:t>
      </w:r>
      <w:r w:rsidRPr="00932BAC">
        <w:rPr>
          <w:b/>
          <w:bCs/>
        </w:rPr>
        <w:t>Regresión Logística</w:t>
      </w:r>
      <w:r w:rsidRPr="00932BAC">
        <w:t xml:space="preserve"> utilizando la librería </w:t>
      </w:r>
      <w:proofErr w:type="spellStart"/>
      <w:r w:rsidRPr="00932BAC">
        <w:rPr>
          <w:b/>
          <w:bCs/>
        </w:rPr>
        <w:t>Scikit-learn</w:t>
      </w:r>
      <w:proofErr w:type="spellEnd"/>
      <w:r w:rsidRPr="00932BAC">
        <w:t xml:space="preserve"> (sklearn). Cada </w:t>
      </w:r>
      <w:r w:rsidRPr="00932BAC">
        <w:rPr>
          <w:i/>
          <w:iCs/>
        </w:rPr>
        <w:t>script</w:t>
      </w:r>
      <w:r w:rsidRPr="00932BAC">
        <w:t xml:space="preserve"> está dedicado a pronosticar una de las tres condiciones de riesgo (Diabetes, Estrés o Disfunción Familiar).</w:t>
      </w:r>
    </w:p>
    <w:p w14:paraId="032E8D21" w14:textId="77777777" w:rsidR="00932BAC" w:rsidRPr="00932BAC" w:rsidRDefault="00932BAC" w:rsidP="00932BAC">
      <w:pPr>
        <w:numPr>
          <w:ilvl w:val="0"/>
          <w:numId w:val="1"/>
        </w:numPr>
      </w:pPr>
      <w:r w:rsidRPr="00932BAC">
        <w:rPr>
          <w:b/>
          <w:bCs/>
        </w:rPr>
        <w:t>Variables:</w:t>
      </w:r>
      <w:r w:rsidRPr="00932BAC">
        <w:t xml:space="preserve"> Utilizan un conjunto base de variables predictoras como el sexo (SEXO_MASCULI), el estrato socioeconómico (ESTRATO) y la zona residencial (ZONA_URBANA).</w:t>
      </w:r>
    </w:p>
    <w:p w14:paraId="2BE8D699" w14:textId="77777777" w:rsidR="00932BAC" w:rsidRPr="00932BAC" w:rsidRDefault="00932BAC" w:rsidP="00932BAC">
      <w:pPr>
        <w:numPr>
          <w:ilvl w:val="0"/>
          <w:numId w:val="1"/>
        </w:numPr>
      </w:pPr>
      <w:r w:rsidRPr="00932BAC">
        <w:rPr>
          <w:b/>
          <w:bCs/>
        </w:rPr>
        <w:t>Evaluación:</w:t>
      </w:r>
      <w:r w:rsidRPr="00932BAC">
        <w:t xml:space="preserve"> Una vez entrenados, los modelos son evaluados con métricas clave:</w:t>
      </w:r>
    </w:p>
    <w:p w14:paraId="1E7D7A7C" w14:textId="77777777" w:rsidR="00932BAC" w:rsidRPr="00932BAC" w:rsidRDefault="00932BAC" w:rsidP="00932BAC">
      <w:pPr>
        <w:numPr>
          <w:ilvl w:val="1"/>
          <w:numId w:val="1"/>
        </w:numPr>
      </w:pPr>
      <w:r w:rsidRPr="00932BAC">
        <w:rPr>
          <w:b/>
          <w:bCs/>
        </w:rPr>
        <w:t>Área Bajo la Curva (AUC)</w:t>
      </w:r>
      <w:r w:rsidRPr="00932BAC">
        <w:t>, que mide la capacidad de discriminación del modelo (con valores de AUC &gt; 0.93 en los resultados).</w:t>
      </w:r>
    </w:p>
    <w:p w14:paraId="4ED0BBCA" w14:textId="77777777" w:rsidR="00932BAC" w:rsidRPr="00932BAC" w:rsidRDefault="00932BAC" w:rsidP="00932BAC">
      <w:pPr>
        <w:numPr>
          <w:ilvl w:val="1"/>
          <w:numId w:val="1"/>
        </w:numPr>
      </w:pPr>
      <w:r w:rsidRPr="00932BAC">
        <w:rPr>
          <w:b/>
          <w:bCs/>
        </w:rPr>
        <w:t>Precisión (</w:t>
      </w:r>
      <w:proofErr w:type="spellStart"/>
      <w:r w:rsidRPr="00932BAC">
        <w:rPr>
          <w:b/>
          <w:bCs/>
        </w:rPr>
        <w:t>Accuracy</w:t>
      </w:r>
      <w:proofErr w:type="spellEnd"/>
      <w:r w:rsidRPr="00932BAC">
        <w:rPr>
          <w:b/>
          <w:bCs/>
        </w:rPr>
        <w:t>)</w:t>
      </w:r>
      <w:r w:rsidRPr="00932BAC">
        <w:t>.</w:t>
      </w:r>
    </w:p>
    <w:p w14:paraId="38C11EEE" w14:textId="77777777" w:rsidR="00932BAC" w:rsidRPr="00932BAC" w:rsidRDefault="00932BAC" w:rsidP="00932BAC">
      <w:pPr>
        <w:numPr>
          <w:ilvl w:val="1"/>
          <w:numId w:val="1"/>
        </w:numPr>
      </w:pPr>
      <w:r w:rsidRPr="00932BAC">
        <w:rPr>
          <w:b/>
          <w:bCs/>
        </w:rPr>
        <w:t>Matriz de Confusión</w:t>
      </w:r>
      <w:r w:rsidRPr="00932BAC">
        <w:t xml:space="preserve"> (TN, FP, FN, TP) para entender los errores de clasificación.</w:t>
      </w:r>
    </w:p>
    <w:p w14:paraId="425FF90D" w14:textId="77777777" w:rsidR="008A61EF" w:rsidRDefault="008A61EF" w:rsidP="00932BAC">
      <w:pPr>
        <w:rPr>
          <w:b/>
          <w:bCs/>
        </w:rPr>
      </w:pPr>
    </w:p>
    <w:p w14:paraId="63CC758A" w14:textId="564F7C4A" w:rsidR="00932BAC" w:rsidRPr="00932BAC" w:rsidRDefault="00932BAC" w:rsidP="00932BAC">
      <w:pPr>
        <w:rPr>
          <w:b/>
          <w:bCs/>
        </w:rPr>
      </w:pPr>
      <w:r w:rsidRPr="00932BAC">
        <w:rPr>
          <w:b/>
          <w:bCs/>
        </w:rPr>
        <w:t>3. Visualización de Resultados (Matplotlib y Seaborn)</w:t>
      </w:r>
    </w:p>
    <w:p w14:paraId="60534A7C" w14:textId="77777777" w:rsidR="008A61EF" w:rsidRDefault="008A61EF" w:rsidP="00932BAC"/>
    <w:p w14:paraId="35C60A3F" w14:textId="76E23D36" w:rsidR="00932BAC" w:rsidRPr="00932BAC" w:rsidRDefault="00932BAC" w:rsidP="00932BAC">
      <w:r w:rsidRPr="00932BAC">
        <w:t xml:space="preserve">El </w:t>
      </w:r>
      <w:r w:rsidRPr="00932BAC">
        <w:rPr>
          <w:i/>
          <w:iCs/>
        </w:rPr>
        <w:t>script</w:t>
      </w:r>
      <w:r w:rsidRPr="00932BAC">
        <w:t xml:space="preserve"> reglogi_graficar_odds.py es crucial para la interpretación clínica de los modelos. Utilizando </w:t>
      </w:r>
      <w:r w:rsidRPr="00932BAC">
        <w:rPr>
          <w:b/>
          <w:bCs/>
        </w:rPr>
        <w:t>Matplotlib</w:t>
      </w:r>
      <w:r w:rsidRPr="00932BAC">
        <w:t xml:space="preserve"> y </w:t>
      </w:r>
      <w:r w:rsidRPr="00932BAC">
        <w:rPr>
          <w:b/>
          <w:bCs/>
        </w:rPr>
        <w:t>Seaborn</w:t>
      </w:r>
      <w:r w:rsidRPr="00932BAC">
        <w:t xml:space="preserve">, genera una figura con dos </w:t>
      </w:r>
      <w:proofErr w:type="spellStart"/>
      <w:r w:rsidRPr="00932BAC">
        <w:t>subgráficos</w:t>
      </w:r>
      <w:proofErr w:type="spellEnd"/>
      <w:r w:rsidRPr="00932BAC">
        <w:t xml:space="preserve"> principales, lo que permite una visualización integral del </w:t>
      </w:r>
      <w:proofErr w:type="gramStart"/>
      <w:r w:rsidRPr="00932BAC">
        <w:t>rendimiento .</w:t>
      </w:r>
      <w:proofErr w:type="gramEnd"/>
    </w:p>
    <w:p w14:paraId="0983E7EF" w14:textId="77777777" w:rsidR="00932BAC" w:rsidRPr="00932BAC" w:rsidRDefault="00932BAC" w:rsidP="00932BAC">
      <w:pPr>
        <w:numPr>
          <w:ilvl w:val="0"/>
          <w:numId w:val="2"/>
        </w:numPr>
      </w:pPr>
      <w:r w:rsidRPr="00932BAC">
        <w:rPr>
          <w:b/>
          <w:bCs/>
        </w:rPr>
        <w:t>Odds Ratio (OR):</w:t>
      </w:r>
      <w:r w:rsidRPr="00932BAC">
        <w:t xml:space="preserve"> Se calcula y grafica el $Odds \ Ratio$ ($\</w:t>
      </w:r>
      <w:proofErr w:type="spellStart"/>
      <w:r w:rsidRPr="00932BAC">
        <w:t>exp</w:t>
      </w:r>
      <w:proofErr w:type="spellEnd"/>
      <w:r w:rsidRPr="00932BAC">
        <w:t>(\</w:t>
      </w:r>
      <w:proofErr w:type="spellStart"/>
      <w:r w:rsidRPr="00932BAC">
        <w:t>beta_</w:t>
      </w:r>
      <w:proofErr w:type="gramStart"/>
      <w:r w:rsidRPr="00932BAC">
        <w:t>i</w:t>
      </w:r>
      <w:proofErr w:type="spellEnd"/>
      <w:r w:rsidRPr="00932BAC">
        <w:t>)$</w:t>
      </w:r>
      <w:proofErr w:type="gramEnd"/>
      <w:r w:rsidRPr="00932BAC">
        <w:t xml:space="preserve">) de cada predictor para mostrar su </w:t>
      </w:r>
      <w:r w:rsidRPr="00932BAC">
        <w:rPr>
          <w:b/>
          <w:bCs/>
        </w:rPr>
        <w:t>fuerza de asociación</w:t>
      </w:r>
      <w:r w:rsidRPr="00932BAC">
        <w:t xml:space="preserve"> con la condición de riesgo, facilitando la interpretación de qué factores aumentan o disminuyen la probabilidad del resultado.</w:t>
      </w:r>
    </w:p>
    <w:p w14:paraId="24657585" w14:textId="77777777" w:rsidR="00932BAC" w:rsidRPr="00932BAC" w:rsidRDefault="00932BAC" w:rsidP="00932BAC">
      <w:pPr>
        <w:numPr>
          <w:ilvl w:val="0"/>
          <w:numId w:val="2"/>
        </w:numPr>
      </w:pPr>
      <w:r w:rsidRPr="00932BAC">
        <w:rPr>
          <w:b/>
          <w:bCs/>
        </w:rPr>
        <w:lastRenderedPageBreak/>
        <w:t>Curva ROC/AUC:</w:t>
      </w:r>
      <w:r w:rsidRPr="00932BAC">
        <w:t xml:space="preserve"> Se visualiza la </w:t>
      </w:r>
      <w:r w:rsidRPr="00932BAC">
        <w:rPr>
          <w:b/>
          <w:bCs/>
        </w:rPr>
        <w:t>Curva de Característica Operativa del Receptor (ROC)</w:t>
      </w:r>
      <w:r w:rsidRPr="00932BAC">
        <w:t xml:space="preserve">, confirmando visualmente el alto rendimiento predictivo del modelo a través del valor </w:t>
      </w:r>
      <w:r w:rsidRPr="00932BAC">
        <w:rPr>
          <w:b/>
          <w:bCs/>
        </w:rPr>
        <w:t>AUC</w:t>
      </w:r>
      <w:r w:rsidRPr="00932BAC">
        <w:t>, que indica la capacidad de un modelo para distinguir entre clases.</w:t>
      </w:r>
    </w:p>
    <w:p w14:paraId="70CCD4C8" w14:textId="77777777" w:rsidR="00E06D45" w:rsidRDefault="00E06D45">
      <w:pPr>
        <w:rPr>
          <w:lang w:val="es-419"/>
        </w:rPr>
      </w:pPr>
    </w:p>
    <w:p w14:paraId="4F1B9F3D" w14:textId="77777777" w:rsidR="00E06D45" w:rsidRPr="00E06D45" w:rsidRDefault="00E06D45">
      <w:pPr>
        <w:rPr>
          <w:lang w:val="es-419"/>
        </w:rPr>
      </w:pPr>
    </w:p>
    <w:sectPr w:rsidR="00E06D45" w:rsidRPr="00E06D4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473F"/>
    <w:multiLevelType w:val="multilevel"/>
    <w:tmpl w:val="0D9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B14C82"/>
    <w:multiLevelType w:val="multilevel"/>
    <w:tmpl w:val="C3D20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3981673">
    <w:abstractNumId w:val="1"/>
  </w:num>
  <w:num w:numId="2" w16cid:durableId="99576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136"/>
    <w:rsid w:val="001E76A8"/>
    <w:rsid w:val="00385A5D"/>
    <w:rsid w:val="00415136"/>
    <w:rsid w:val="004A4D07"/>
    <w:rsid w:val="00670273"/>
    <w:rsid w:val="00765E24"/>
    <w:rsid w:val="00790501"/>
    <w:rsid w:val="007F3794"/>
    <w:rsid w:val="008A61EF"/>
    <w:rsid w:val="00932BAC"/>
    <w:rsid w:val="009557EA"/>
    <w:rsid w:val="00D05F49"/>
    <w:rsid w:val="00E06D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CBAB"/>
  <w15:chartTrackingRefBased/>
  <w15:docId w15:val="{A8D8EE71-8DA7-44F7-AA2F-83B7667109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2"/>
        <w:lang w:val="es-C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90501"/>
    <w:pPr>
      <w:keepNext/>
      <w:keepLines/>
      <w:jc w:val="both"/>
      <w:outlineLvl w:val="0"/>
    </w:pPr>
    <w:rPr>
      <w:rFonts w:eastAsiaTheme="majorEastAsia" w:cstheme="majorBidi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15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1513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1513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1513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1513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1513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1513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1513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90501"/>
    <w:rPr>
      <w:rFonts w:eastAsiaTheme="majorEastAsia" w:cstheme="majorBidi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151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1513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1513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1513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1513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1513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1513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15136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1513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15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1513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1513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1513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1513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1513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1513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151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15136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15136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06D45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06D4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398</Words>
  <Characters>2195</Characters>
  <Application>Microsoft Office Word</Application>
  <DocSecurity>0</DocSecurity>
  <Lines>18</Lines>
  <Paragraphs>5</Paragraphs>
  <ScaleCrop>false</ScaleCrop>
  <Company/>
  <LinksUpToDate>false</LinksUpToDate>
  <CharactersWithSpaces>2588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ELKIN OSWALDO FORERO SOTO</dc:creator>
  <cp:keywords/>
  <dc:description/>
  <cp:lastModifiedBy>ELKIN OSWALDO FORERO SOTO</cp:lastModifiedBy>
  <cp:revision>4</cp:revision>
  <cp:lastPrinted>2025-12-12T19:38:00Z</cp:lastPrinted>
  <dcterms:created xsi:type="dcterms:W3CDTF">2025-12-12T19:52:00Z</dcterms:created>
  <dcterms:modified xsi:type="dcterms:W3CDTF">2025-12-12T19:53:00Z</dcterms:modified>
</cp:coreProperties>
</file>