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5950" w:after="0"/>
        <w:jc w:val="center"/>
      </w:pPr>
      <w:r>
        <w:rPr>
          <w:rFonts w:ascii="Inter Display" w:hAnsi="Inter Display" w:cs="Inter Display" w:asciiTheme="majorHAnsi" w:eastAsiaTheme="majorEastAsia" w:hAnsiTheme="majorHAnsi" w:cstheme="majorBidi"/>
          <w:b/>
          <w:caps/>
          <w:color w:val="9169F4" w:themeColor="accent1"/>
          <w:spacing w:val="80"/>
          <w:sz w:val="24"/>
          <w:szCs w:val="24"/>
        </w:rPr>
        <w:t xml:space="preserve">Portada</w:t>
      </w:r>
    </w:p>
    <w:p>
      <w:pPr>
        <w:pBdr>
          <w:bottom w:val="single" w:sz="36" w:space="0" w:color="74E0C1" w:themeColor="accent2"/>
        </w:pBdr>
        <w:spacing w:before="200" w:after="260" w:line="240" w:lineRule="auto"/>
        <w:ind w:left="4422" w:right="4422"/>
        <w:rPr>
          <w:sz w:val="4"/>
          <w:szCs w:val="4"/>
        </w:rPr>
      </w:pPr>
    </w:p>
    <w:p>
      <w:pPr>
        <w:jc w:val="center"/>
        <w:sectPr>
          <w:type w:val="nextPage"/>
          <w:pgSz w:w="11906" w:h="16838"/>
          <w:pgMar w:top="1304" w:right="1134" w:bottom="1361" w:left="1134" w:header="567" w:footer="680" w:gutter="0"/>
          <w:cols w:space="708"/>
          <w:docGrid w:linePitch="360"/>
        </w:sectPr>
      </w:pPr>
      <w:r>
        <w:rPr>
          <w:color w:val="66616B" w:themeColor="accent6"/>
          <w:sz w:val="19"/>
          <w:szCs w:val="19"/>
        </w:rPr>
        <w:t xml:space="preserve">Espacio reservado para el diseño de portada</w:t>
      </w:r>
    </w:p>
    <w:p>
      <w:pPr>
        <w:pStyle w:val="TituloSeccion"/>
      </w:pPr>
      <w:r>
        <w:t xml:space="preserve">Presentación</w:t>
      </w:r>
    </w:p>
    <w:p>
      <w:pPr>
        <w:pStyle w:val="Filete"/>
      </w:pPr>
    </w:p>
    <w:p>
      <w:pPr>
        <w:pStyle w:val="Entradilla"/>
      </w:pPr>
      <w:r>
        <w:t xml:space="preserve">Queremos una ciudad que cuide sus barrios y a quienes los habitan, que garantice servicios públicos de proximidad y que permita desarrollar un proyecto de vida con derechos.</w:t>
      </w:r>
    </w:p>
    <w:p>
      <w:pPr>
        <w:pStyle w:val="Texto"/>
      </w:pPr>
      <w:r>
        <w:t xml:space="preserve">Nuestro programa parte de una idea sencilla: la política municipal debe servir para mejorar la vida cotidiana y ampliar la capacidad de decisión de la ciudadanía.</w:t>
      </w:r>
    </w:p>
    <w:p>
      <w:pPr>
        <w:pStyle w:val="Texto"/>
      </w:pPr>
      <w:r>
        <w:t xml:space="preserve">Las propuestas que siguen combinan medidas sobre vivienda, cuidados, educación, cultura, empleo, movilidad, transición ecológica, igualdad y participación. El objetivo es construir un municipio más accesible, sostenible y cohesionado, con una administración cercana y unos servicios públicos capaces de responder a las necesidades reales de la población.</w:t>
      </w:r>
    </w:p>
    <w:p>
      <w:pPr>
        <w:pStyle w:val="Texto"/>
      </w:pPr>
      <w:r>
        <w:t xml:space="preserve">Cada área recoge una breve introducción y un conjunto de medidas concretas, presentadas de forma clara para que cualquier persona pueda conocerlas, valorarlas y hacer seguimiento de su cumplimiento.</w:t>
      </w:r>
    </w:p>
    <w:p>
      <w:pPr>
        <w:pStyle w:val="Destacado"/>
        <w:spacing w:before="280"/>
      </w:pPr>
      <w:r>
        <w:t xml:space="preserve">Una ciudad que cuide, garantice derechos y haga de lo público una herramienta útil para la mayoría.</w:t>
      </w:r>
    </w:p>
    <w:p>
      <w:pPr>
        <w:pStyle w:val="TituloSeccion"/>
      </w:pPr>
      <w:r>
        <w:t xml:space="preserve">Índice</w:t>
      </w:r>
    </w:p>
    <w:p>
      <w:pPr>
        <w:pStyle w:val="Filete"/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1"/>
          </w:pPr>
          <w:r>
            <w:fldChar w:fldCharType="begin"/>
          </w:r>
          <w:r>
            <w:instrText xml:space="preserve"> TOC \o "1-1" \h \z </w:instrText>
          </w:r>
          <w:r>
            <w:fldChar w:fldCharType="separate"/>
          </w:r>
          <w:hyperlink w:anchor="_Toc180000001" w:history="1">
            <w:r>
              <w:t xml:space="preserve">01</w:t>
            </w:r>
            <w:r>
              <w:tab/>
            </w:r>
            <w:r>
              <w:t xml:space="preserve">Vivienda como derecho</w:t>
            </w:r>
            <w:r>
              <w:tab/>
            </w:r>
            <w:r>
              <w:fldChar w:fldCharType="begin"/>
            </w:r>
            <w:r>
              <w:instrText xml:space="preserve"> PAGEREF _Toc180000001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</w:p>
        <w:p>
          <w:pPr>
            <w:pStyle w:val="TOC1"/>
          </w:pPr>
          <w:hyperlink w:anchor="_Toc180000002" w:history="1">
            <w:r>
              <w:t xml:space="preserve">02</w:t>
            </w:r>
            <w:r>
              <w:tab/>
            </w:r>
            <w:r>
              <w:t xml:space="preserve">Cuidados y servicios sociales</w:t>
            </w:r>
            <w:r>
              <w:tab/>
            </w:r>
            <w:r>
              <w:fldChar w:fldCharType="begin"/>
            </w:r>
            <w:r>
              <w:instrText xml:space="preserve"> PAGEREF _Toc180000002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</w:p>
        <w:p>
          <w:pPr>
            <w:pStyle w:val="TOC1"/>
          </w:pPr>
          <w:hyperlink w:anchor="_Toc180000003" w:history="1">
            <w:r>
              <w:t xml:space="preserve">03</w:t>
            </w:r>
            <w:r>
              <w:tab/>
            </w:r>
            <w:r>
              <w:t xml:space="preserve">Medio ambiente sostenible y bienestar animal</w:t>
            </w:r>
            <w:r>
              <w:tab/>
            </w:r>
            <w:r>
              <w:fldChar w:fldCharType="begin"/>
            </w:r>
            <w:r>
              <w:instrText xml:space="preserve"> PAGEREF _Toc180000003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</w:p>
        <w:p>
          <w:pPr>
            <w:pStyle w:val="TOC1"/>
          </w:pPr>
          <w:hyperlink w:anchor="_Toc180000004" w:history="1">
            <w:r>
              <w:t xml:space="preserve">04</w:t>
            </w:r>
            <w:r>
              <w:tab/>
            </w:r>
            <w:r>
              <w:t xml:space="preserve">Democracia, transparencia y participación</w:t>
            </w:r>
            <w:r>
              <w:tab/>
            </w:r>
            <w:r>
              <w:fldChar w:fldCharType="begin"/>
            </w:r>
            <w:r>
              <w:instrText xml:space="preserve"> PAGEREF _Toc180000004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fldChar w:fldCharType="end"/>
          </w:r>
        </w:p>
      </w:sdtContent>
    </w:sdt>
    <w:p>
      <w:pPr>
        <w:sectPr>
          <w:footerReference w:type="default" r:id="rIdFooter1"/>
          <w:type w:val="nextPage"/>
          <w:pgSz w:w="11906" w:h="16838"/>
          <w:pgMar w:top="1304" w:right="1134" w:bottom="1361" w:left="1134" w:header="567" w:footer="680" w:gutter="0"/>
          <w:cols w:space="708"/>
          <w:docGrid w:linePitch="360"/>
        </w:sectPr>
      </w:pPr>
    </w:p>
    <w:p>
      <w:pPr>
        <w:pStyle w:val="Heading1"/>
      </w:pPr>
      <w:bookmarkStart w:id="0" w:name="_Toc180000001"/>
      <w:r>
        <w:t xml:space="preserve">Vivienda como derecho</w:t>
      </w:r>
      <w:bookmarkEnd w:id="0"/>
    </w:p>
    <w:p>
      <w:pPr>
        <w:pStyle w:val="Filete"/>
      </w:pPr>
    </w:p>
    <w:p>
      <w:pPr>
        <w:pStyle w:val="Entradilla"/>
      </w:pPr>
      <w:r>
        <w:t xml:space="preserve">La vivienda condiciona la posibilidad de construir un proyecto de vida y permanecer en la ciudad. Queremos utilizar las herramientas municipales disponibles para ampliar las alternativas públicas y asequibles, mejorar el acompañamiento a la ciudadanía y reforzar la función social de la vivienda.</w:t>
      </w:r>
    </w:p>
    <w:p>
      <w:pPr>
        <w:pStyle w:val="Destacado"/>
      </w:pPr>
      <w:r>
        <w:t xml:space="preserve">Vivir en nuestro municipio debe seguir siendo posible.</w:t>
      </w:r>
    </w:p>
    <w:p>
      <w:pPr>
        <w:pStyle w:val="Etiqueta"/>
      </w:pPr>
      <w:r>
        <w:t xml:space="preserve">Medidas</w:t>
      </w:r>
    </w:p>
    <w:p>
      <w:pPr>
        <w:pStyle w:val="Medida"/>
      </w:pPr>
      <w:r>
        <w:t xml:space="preserve">Construcción de vivienda de promoción pública</w:t>
      </w:r>
    </w:p>
    <w:p>
      <w:pPr>
        <w:pStyle w:val="MedidaTexto"/>
      </w:pPr>
      <w:r>
        <w:t xml:space="preserve">Impulsaremos la construcción de vivienda de promoción pública utilizando los instrumentos municipales disponibles y priorizando su función social.</w:t>
      </w:r>
    </w:p>
    <w:p>
      <w:pPr>
        <w:pStyle w:val="Medida"/>
      </w:pPr>
      <w:r>
        <w:t xml:space="preserve">Reforzar la Oficina de Vivienda</w:t>
      </w:r>
    </w:p>
    <w:p>
      <w:pPr>
        <w:pStyle w:val="MedidaTexto"/>
      </w:pPr>
      <w:r>
        <w:t xml:space="preserve">Dotaremos de recursos materiales y profesionales a la Oficina de Vivienda para ampliar sus prestaciones, mejorar el asesoramiento y facilitar una atención de proximidad a la ciudadanía.</w:t>
      </w:r>
    </w:p>
    <w:p>
      <w:pPr>
        <w:pStyle w:val="Medida"/>
      </w:pPr>
      <w:r>
        <w:t xml:space="preserve">Ayudas a la rehabilitación de la vivienda</w:t>
      </w:r>
    </w:p>
    <w:p>
      <w:pPr>
        <w:pStyle w:val="MedidaTexto"/>
      </w:pPr>
      <w:r>
        <w:t xml:space="preserve">Impulsaremos ayudas a la rehabilitación para mejorar la conservación, la habitabilidad y las condiciones de uso del parque residencial.</w:t>
      </w:r>
    </w:p>
    <w:p>
      <w:pPr>
        <w:pStyle w:val="Medida"/>
      </w:pPr>
      <w:r>
        <w:t xml:space="preserve">Movilizar la vivienda vacía</w:t>
      </w:r>
    </w:p>
    <w:p>
      <w:pPr>
        <w:pStyle w:val="MedidaTexto"/>
      </w:pPr>
      <w:r>
        <w:t xml:space="preserve">Identificaremos las viviendas vacías del municipio y aplicaremos los instrumentos legales disponibles para incorporarlas al parque de alquiler asequible.</w:t>
      </w:r>
    </w:p>
    <w:p>
      <w:pPr>
        <w:pStyle w:val="Medida"/>
      </w:pPr>
      <w:r>
        <w:t xml:space="preserve">Prevención y acompañamiento ante los desahucios</w:t>
      </w:r>
    </w:p>
    <w:p>
      <w:pPr>
        <w:pStyle w:val="MedidaTexto"/>
      </w:pPr>
      <w:r>
        <w:t xml:space="preserve">Reforzaremos la mediación y el acompañamiento a las familias en riesgo de perder su vivienda, en coordinación con los servicios sociales.</w:t>
      </w:r>
    </w:p>
    <w:p>
      <w:pPr>
        <w:pStyle w:val="Heading1"/>
      </w:pPr>
      <w:bookmarkStart w:id="1" w:name="_Toc180000002"/>
      <w:r>
        <w:t xml:space="preserve">Cuidados y servicios sociales</w:t>
      </w:r>
      <w:bookmarkEnd w:id="1"/>
    </w:p>
    <w:p>
      <w:pPr>
        <w:pStyle w:val="Filete"/>
      </w:pPr>
    </w:p>
    <w:p>
      <w:pPr>
        <w:pStyle w:val="Entradilla"/>
      </w:pPr>
      <w:r>
        <w:t xml:space="preserve">Los cuidados sostienen la vida cotidiana y son una responsabilidad compartida. Queremos unos servicios sociales cercanos, ágiles y con recursos suficientes, que acompañen a las personas en cada etapa de la vida y no dejen a nadie atrás.</w:t>
      </w:r>
    </w:p>
    <w:p>
      <w:pPr>
        <w:pStyle w:val="Destacado"/>
      </w:pPr>
      <w:r>
        <w:t xml:space="preserve">Cuidar a las personas es la mejor inversión de un municipio.</w:t>
      </w:r>
    </w:p>
    <w:p>
      <w:pPr>
        <w:pStyle w:val="Etiqueta"/>
      </w:pPr>
      <w:r>
        <w:t xml:space="preserve">Medidas</w:t>
      </w:r>
    </w:p>
    <w:p>
      <w:pPr>
        <w:pStyle w:val="Medida"/>
      </w:pPr>
      <w:r>
        <w:t xml:space="preserve">Ampliar el servicio de atención domiciliaria</w:t>
      </w:r>
    </w:p>
    <w:p>
      <w:pPr>
        <w:pStyle w:val="MedidaTexto"/>
      </w:pPr>
      <w:r>
        <w:t xml:space="preserve">Ampliaremos la cobertura del servicio de atención domiciliaria para que las personas mayores y dependientes puedan seguir viviendo en su casa con los apoyos adecuados.</w:t>
      </w:r>
    </w:p>
    <w:p>
      <w:pPr>
        <w:pStyle w:val="Medida"/>
      </w:pPr>
      <w:r>
        <w:t xml:space="preserve">Reducir los tiempos de espera en servicios sociales</w:t>
      </w:r>
    </w:p>
    <w:p>
      <w:pPr>
        <w:pStyle w:val="MedidaTexto"/>
      </w:pPr>
      <w:r>
        <w:t xml:space="preserve">Reforzaremos los equipos de servicios sociales básicos para reducir las listas de espera y garantizar una primera atención rápida y de calidad.</w:t>
      </w:r>
    </w:p>
    <w:p>
      <w:pPr>
        <w:pStyle w:val="Medida"/>
      </w:pPr>
      <w:r>
        <w:t xml:space="preserve">Red de apoyo a las personas cuidadoras</w:t>
      </w:r>
    </w:p>
    <w:p>
      <w:pPr>
        <w:pStyle w:val="MedidaTexto"/>
      </w:pPr>
      <w:r>
        <w:t xml:space="preserve">Crearemos espacios de formación, respiro y acompañamiento para las personas que cuidan de familiares en su día a día.</w:t>
      </w:r>
    </w:p>
    <w:p>
      <w:pPr>
        <w:pStyle w:val="Medida"/>
      </w:pPr>
      <w:r>
        <w:t xml:space="preserve">Plan contra la soledad no deseada</w:t>
      </w:r>
    </w:p>
    <w:p>
      <w:pPr>
        <w:pStyle w:val="MedidaTexto"/>
      </w:pPr>
      <w:r>
        <w:t xml:space="preserve">Pondremos en marcha un plan municipal para detectar y acompañar situaciones de soledad no deseada, en colaboración con las entidades y los equipamientos de proximidad.</w:t>
      </w:r>
    </w:p>
    <w:p>
      <w:pPr>
        <w:pStyle w:val="Heading1"/>
      </w:pPr>
      <w:bookmarkStart w:id="2" w:name="_Toc180000003"/>
      <w:r>
        <w:t xml:space="preserve">Medio ambiente sostenible y bienestar animal</w:t>
      </w:r>
      <w:bookmarkEnd w:id="2"/>
    </w:p>
    <w:p>
      <w:pPr>
        <w:pStyle w:val="Filete"/>
      </w:pPr>
    </w:p>
    <w:p>
      <w:pPr>
        <w:pStyle w:val="Entradilla"/>
      </w:pPr>
      <w:r>
        <w:t xml:space="preserve">La transición ecológica debe notarse en las calles, en los recibos, en la movilidad y en la calidad del espacio público. Queremos preparar el municipio frente al cambio climático, mejorar la gestión de la energía, el agua y los residuos, y avanzar en una convivencia responsable con los animales.</w:t>
      </w:r>
    </w:p>
    <w:p>
      <w:pPr>
        <w:pStyle w:val="Destacado"/>
      </w:pPr>
      <w:r>
        <w:t xml:space="preserve">La transición ecológica también es una política de salud, bienestar y justicia social.</w:t>
      </w:r>
    </w:p>
    <w:p>
      <w:pPr>
        <w:pStyle w:val="Etiqueta"/>
      </w:pPr>
      <w:r>
        <w:t xml:space="preserve">Medidas</w:t>
      </w:r>
    </w:p>
    <w:p>
      <w:pPr>
        <w:pStyle w:val="Medida"/>
      </w:pPr>
      <w:r>
        <w:t xml:space="preserve">Crear una Oficina Energética municipal</w:t>
      </w:r>
    </w:p>
    <w:p>
      <w:pPr>
        <w:pStyle w:val="MedidaTexto"/>
      </w:pPr>
      <w:r>
        <w:t xml:space="preserve">Crearemos una Oficina Energética que informe, asesore y acompañe a la ciudadanía en cuestiones relacionadas con los suministros, las ayudas disponibles, la interpretación de recibos y la transición hacia energías renovables y comunidades energéticas.</w:t>
      </w:r>
    </w:p>
    <w:p>
      <w:pPr>
        <w:pStyle w:val="Medida"/>
      </w:pPr>
      <w:r>
        <w:t xml:space="preserve">Plan de Transición y Adaptación al Cambio Climático</w:t>
      </w:r>
    </w:p>
    <w:p>
      <w:pPr>
        <w:pStyle w:val="MedidaTexto"/>
      </w:pPr>
      <w:r>
        <w:t xml:space="preserve">Desarrollaremos un plan municipal que ordene las actuaciones de adaptación climática y permita incorporar este criterio de forma transversal en el espacio público y las políticas locales.</w:t>
      </w:r>
    </w:p>
    <w:p>
      <w:pPr>
        <w:pStyle w:val="Medida"/>
      </w:pPr>
      <w:r>
        <w:t xml:space="preserve">Corredores verdes y de sombra</w:t>
      </w:r>
    </w:p>
    <w:p>
      <w:pPr>
        <w:pStyle w:val="MedidaTexto"/>
      </w:pPr>
      <w:r>
        <w:t xml:space="preserve">Impulsaremos corredores verdes y de sombra que conecten espacios urbanos y naturales, mejoren el confort térmico y favorezcan el paseo, el ocio y la biodiversidad.</w:t>
      </w:r>
    </w:p>
    <w:p>
      <w:pPr>
        <w:pStyle w:val="Medida"/>
      </w:pPr>
      <w:r>
        <w:t xml:space="preserve">Plan municipal de bienestar animal</w:t>
      </w:r>
    </w:p>
    <w:p>
      <w:pPr>
        <w:pStyle w:val="MedidaTexto"/>
      </w:pPr>
      <w:r>
        <w:t xml:space="preserve">Impulsaremos un plan de bienestar animal con campañas de tenencia responsable, gestión ética de las colonias felinas y espacios adecuados para los animales de compañía.</w:t>
      </w:r>
    </w:p>
    <w:p>
      <w:pPr>
        <w:pStyle w:val="Heading1"/>
      </w:pPr>
      <w:bookmarkStart w:id="3" w:name="_Toc180000004"/>
      <w:r>
        <w:t xml:space="preserve">Democracia, transparencia y participación</w:t>
      </w:r>
      <w:bookmarkEnd w:id="3"/>
    </w:p>
    <w:p>
      <w:pPr>
        <w:pStyle w:val="Filete"/>
      </w:pPr>
    </w:p>
    <w:p>
      <w:pPr>
        <w:pStyle w:val="Entradilla"/>
      </w:pPr>
      <w:r>
        <w:t xml:space="preserve">Una democracia local fuerte necesita información comprensible, rendición de cuentas y espacios donde participar tenga consecuencias reales. Queremos ampliar la capacidad de la ciudadanía para conocer, debatir y formar parte de las decisiones municipales.</w:t>
      </w:r>
    </w:p>
    <w:p>
      <w:pPr>
        <w:pStyle w:val="Destacado"/>
      </w:pPr>
      <w:r>
        <w:t xml:space="preserve">Participar no es solo opinar: es poder intervenir en las decisiones que afectan a la ciudad.</w:t>
      </w:r>
    </w:p>
    <w:p>
      <w:pPr>
        <w:pStyle w:val="Etiqueta"/>
      </w:pPr>
      <w:r>
        <w:t xml:space="preserve">Medidas</w:t>
      </w:r>
    </w:p>
    <w:p>
      <w:pPr>
        <w:pStyle w:val="Medida"/>
      </w:pPr>
      <w:r>
        <w:t xml:space="preserve">Creación del Consejo de Ciudad</w:t>
      </w:r>
    </w:p>
    <w:p>
      <w:pPr>
        <w:pStyle w:val="MedidaTexto"/>
      </w:pPr>
      <w:r>
        <w:t xml:space="preserve">Crearemos un Consejo de Ciudad como espacio estable de participación y diálogo sobre los principales retos y políticas municipales.</w:t>
      </w:r>
    </w:p>
    <w:p>
      <w:pPr>
        <w:pStyle w:val="Medida"/>
      </w:pPr>
      <w:r>
        <w:t xml:space="preserve">Auditoría de la contratación pública</w:t>
      </w:r>
    </w:p>
    <w:p>
      <w:pPr>
        <w:pStyle w:val="MedidaTexto"/>
      </w:pPr>
      <w:r>
        <w:t xml:space="preserve">Impulsaremos mecanismos de auditoría de la contratación pública para reforzar la transparencia, el control democrático y el buen uso de los recursos municipales.</w:t>
      </w:r>
    </w:p>
    <w:p>
      <w:pPr>
        <w:pStyle w:val="Medida"/>
      </w:pPr>
      <w:r>
        <w:t xml:space="preserve">Ampliar los presupuestos participativos</w:t>
      </w:r>
    </w:p>
    <w:p>
      <w:pPr>
        <w:pStyle w:val="MedidaTexto"/>
      </w:pPr>
      <w:r>
        <w:t xml:space="preserve">Ampliaremos las partidas destinadas a presupuestos participativos y mejoraremos su desarrollo para facilitar una participación ciudadana efectiva en la priorización de inversiones.</w:t>
      </w:r>
    </w:p>
    <w:p>
      <w:pPr>
        <w:pStyle w:val="Medida"/>
      </w:pPr>
      <w:r>
        <w:t xml:space="preserve">Un portal de transparencia comprensible</w:t>
      </w:r>
    </w:p>
    <w:p>
      <w:pPr>
        <w:pStyle w:val="MedidaTexto"/>
      </w:pPr>
      <w:r>
        <w:t xml:space="preserve">Mejoraremos el portal de transparencia para que la información sobre presupuestos, contratos y acuerdos municipales sea accesible y fácil de entender.</w:t>
      </w:r>
    </w:p>
    <w:sectPr>
      <w:footerReference w:type="default" r:id="rIdFooter2"/>
      <w:type w:val="nextPage"/>
      <w:pgSz w:w="11906" w:h="16838"/>
      <w:pgMar w:top="1304" w:right="1134" w:bottom="1361" w:left="1134" w:header="567" w:footer="68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Inter">
    <w:panose1 w:val="02000503000000020004"/>
    <w:charset w:val="00"/>
    <w:family w:val="swiss"/>
    <w:pitch w:val="variable"/>
    <w:sig w:usb0="8000002F" w:usb1="0000A07B" w:usb2="00000000" w:usb3="00000000" w:csb0="00000193" w:csb1="00000000"/>
    <w:embedRegular r:id="rIdFont1" w:fontKey="{C723878B-2F92-4605-8BC6-FA9708598CD9}"/>
    <w:embedBold r:id="rIdFont2" w:fontKey="{9DC7B4E6-0B16-4763-9410-A14813050F1F}"/>
    <w:embedItalic r:id="rIdFont3" w:fontKey="{DE993A3A-92CB-4EB7-BA20-97EA3FFFCBEA}"/>
    <w:embedBoldItalic r:id="rIdFont4" w:fontKey="{0A508286-D23F-47C1-A5BC-EEB8B16EC49C}"/>
  </w:font>
  <w:font w:name="Inter Display">
    <w:panose1 w:val="02000503000000020004"/>
    <w:charset w:val="00"/>
    <w:family w:val="swiss"/>
    <w:pitch w:val="variable"/>
    <w:sig w:usb0="8000002F" w:usb1="0000A07B" w:usb2="00000000" w:usb3="00000000" w:csb0="00000193" w:csb1="00000000"/>
    <w:embedRegular r:id="rIdFont5" w:fontKey="{13A6837D-209B-4D05-8D8D-E1E0AD1C41D6}"/>
    <w:embedBold r:id="rIdFont6" w:fontKey="{7732881F-2DD6-44C0-9AB9-F90890BF7207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Programa electoral municipal 2027–2031</w:t>
    </w:r>
    <w:r>
      <w:tab/>
    </w:r>
    <w:r>
      <w:rPr>
        <w:b/>
        <w:bCs/>
        <w:color w:val="9169F4" w:themeColor="accent1"/>
      </w:rPr>
      <w:fldChar w:fldCharType="begin"/>
    </w:r>
    <w:r>
      <w:rPr>
        <w:b/>
        <w:bCs/>
        <w:color w:val="9169F4" w:themeColor="accent1"/>
      </w:rPr>
      <w:instrText xml:space="preserve"> PAGE </w:instrText>
    </w:r>
    <w:r>
      <w:rPr>
        <w:b/>
        <w:bCs/>
        <w:color w:val="9169F4" w:themeColor="accent1"/>
      </w:rPr>
      <w:fldChar w:fldCharType="separate"/>
    </w:r>
    <w:r>
      <w:rPr>
        <w:b/>
        <w:bCs/>
        <w:color w:val="9169F4" w:themeColor="accent1"/>
      </w:rPr>
      <w:t xml:space="preserve">2</w:t>
    </w:r>
    <w:r>
      <w:rPr>
        <w:b/>
        <w:bCs/>
        <w:color w:val="9169F4" w:themeColor="accent1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Programa electoral municipal 2027–2031</w:t>
    </w:r>
    <w:r>
      <w:tab/>
    </w:r>
    <w:r>
      <w:fldChar w:fldCharType="begin"/>
    </w:r>
    <w:r>
      <w:instrText xml:space="preserve"> STYLEREF 1 </w:instrText>
    </w:r>
    <w:r>
      <w:fldChar w:fldCharType="separate"/>
    </w:r>
    <w:r>
      <w:t xml:space="preserve">Vivienda como derecho</w:t>
    </w:r>
    <w:r>
      <w:fldChar w:fldCharType="end"/>
    </w:r>
    <w:r>
      <w:t xml:space="preserve"> </w:t>
    </w:r>
    <w:r>
      <w:rPr>
        <w:b/>
        <w:bCs/>
        <w:color w:val="9169F4" w:themeColor="accent1"/>
      </w:rPr>
      <w:fldChar w:fldCharType="begin"/>
    </w:r>
    <w:r>
      <w:rPr>
        <w:b/>
        <w:bCs/>
        <w:color w:val="9169F4" w:themeColor="accent1"/>
      </w:rPr>
      <w:instrText xml:space="preserve"> PAGE </w:instrText>
    </w:r>
    <w:r>
      <w:rPr>
        <w:b/>
        <w:bCs/>
        <w:color w:val="9169F4" w:themeColor="accent1"/>
      </w:rPr>
      <w:fldChar w:fldCharType="separate"/>
    </w:r>
    <w:r>
      <w:rPr>
        <w:b/>
        <w:bCs/>
        <w:color w:val="9169F4" w:themeColor="accent1"/>
      </w:rPr>
      <w:t xml:space="preserve">4</w:t>
    </w:r>
    <w:r>
      <w:rPr>
        <w:b/>
        <w:bCs/>
        <w:color w:val="9169F4" w:themeColor="accent1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Zero"/>
      <w:pStyle w:val="Heading1"/>
      <w:suff w:val="tab"/>
      <w:lvlText w:val="%1"/>
      <w:lvlJc w:val="left"/>
      <w:pPr>
        <w:ind w:left="1134" w:hanging="1134"/>
      </w:pPr>
      <w:rPr>
        <w:color w:val="9169F4" w:themeColor="accent1"/>
      </w:rPr>
    </w:lvl>
    <w:lvl w:ilvl="1">
      <w:start w:val="1"/>
      <w:numFmt w:val="decimal"/>
      <w:pStyle w:val="Medida"/>
      <w:isLgl/>
      <w:suff w:val="tab"/>
      <w:lvlText w:val="%1.%2"/>
      <w:lvlJc w:val="left"/>
      <w:pPr>
        <w:ind w:left="1134" w:hanging="1134"/>
      </w:pPr>
      <w:rPr>
        <w:color w:val="9169F4" w:themeColor="accent1"/>
      </w:rPr>
    </w:lvl>
    <w:lvl w:ilvl="2">
      <w:start w:val="1"/>
      <w:numFmt w:val="decimal"/>
      <w:isLgl/>
      <w:suff w:val="tab"/>
      <w:lvlText w:val="%1.%2.%3"/>
      <w:lvlJc w:val="left"/>
      <w:pPr>
        <w:ind w:left="1701" w:hanging="1134"/>
      </w:pPr>
    </w:lvl>
    <w:lvl w:ilvl="3">
      <w:start w:val="1"/>
      <w:numFmt w:val="decimal"/>
      <w:isLgl/>
      <w:suff w:val="tab"/>
      <w:lvlText w:val="%1.%2.%3.%4"/>
      <w:lvlJc w:val="left"/>
      <w:pPr>
        <w:ind w:left="2268" w:hanging="1134"/>
      </w:pPr>
    </w:lvl>
    <w:lvl w:ilvl="4">
      <w:start w:val="1"/>
      <w:numFmt w:val="decimal"/>
      <w:isLgl/>
      <w:suff w:val="tab"/>
      <w:lvlText w:val="%1.%2.%3.%4.%5"/>
      <w:lvlJc w:val="left"/>
      <w:pPr>
        <w:ind w:left="2835" w:hanging="1134"/>
      </w:pPr>
    </w:lvl>
    <w:lvl w:ilvl="5">
      <w:start w:val="1"/>
      <w:numFmt w:val="decimal"/>
      <w:isLgl/>
      <w:suff w:val="tab"/>
      <w:lvlText w:val="%1.%2.%3.%4.%5.%6"/>
      <w:lvlJc w:val="left"/>
      <w:pPr>
        <w:ind w:left="3402" w:hanging="1134"/>
      </w:pPr>
    </w:lvl>
    <w:lvl w:ilvl="6">
      <w:start w:val="1"/>
      <w:numFmt w:val="decimal"/>
      <w:isLgl/>
      <w:suff w:val="tab"/>
      <w:lvlText w:val="%1.%2.%3.%4.%5.%6.%7"/>
      <w:lvlJc w:val="left"/>
      <w:pPr>
        <w:ind w:left="3969" w:hanging="1134"/>
      </w:pPr>
    </w:lvl>
    <w:lvl w:ilvl="7">
      <w:start w:val="1"/>
      <w:numFmt w:val="decimal"/>
      <w:isLgl/>
      <w:suff w:val="tab"/>
      <w:lvlText w:val="%1.%2.%3.%4.%5.%6.%7.%8"/>
      <w:lvlJc w:val="left"/>
      <w:pPr>
        <w:ind w:left="4536" w:hanging="1134"/>
      </w:pPr>
    </w:lvl>
    <w:lvl w:ilvl="8">
      <w:start w:val="1"/>
      <w:numFmt w:val="decimal"/>
      <w:isLgl/>
      <w:suff w:val="tab"/>
      <w:lvlText w:val="%1.%2.%3.%4.%5.%6.%7.%8.%9"/>
      <w:lvlJc w:val="left"/>
      <w:pPr>
        <w:ind w:left="5103" w:hanging="1134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embedTrueTypeFonts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hAnsi="Inter" w:cs="Inter" w:asciiTheme="minorHAnsi" w:eastAsiaTheme="minorEastAsia" w:hAnsiTheme="minorHAnsi" w:cstheme="minorBidi"/>
        <w:color w:val="2C2730" w:themeColor="text1"/>
        <w:kern w:val="2"/>
        <w:sz w:val="22"/>
        <w:szCs w:val="22"/>
        <w:lang w:val="es-E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spacing w:after="0" w:line="288" w:lineRule="auto"/>
    </w:pPr>
    <w:rPr>
      <w:rFonts w:ascii="Inter" w:hAnsi="Inter" w:cs="Inter" w:asciiTheme="minorHAnsi" w:eastAsiaTheme="minorEastAsia" w:hAnsiTheme="minorHAnsi" w:cstheme="minorBidi"/>
      <w:color w:val="2C2730" w:themeColor="tex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aliases w:val="Área"/>
    <w:basedOn w:val="Normal"/>
    <w:next w:val="Filete"/>
    <w:uiPriority w:val="9"/>
    <w:qFormat/>
    <w:pPr>
      <w:keepNext/>
      <w:keepLines/>
      <w:pageBreakBefore/>
      <w:numPr>
        <w:ilvl w:val="0"/>
        <w:numId w:val="1"/>
      </w:numPr>
      <w:spacing w:before="0" w:after="0" w:line="228" w:lineRule="auto"/>
      <w:ind w:left="1134" w:hanging="1134"/>
      <w:outlineLvl w:val="0"/>
    </w:pPr>
    <w:rPr>
      <w:rFonts w:ascii="Inter Display" w:hAnsi="Inter Display" w:cs="Inter Display" w:asciiTheme="majorHAnsi" w:eastAsiaTheme="majorEastAsia" w:hAnsiTheme="majorHAnsi" w:cstheme="majorBidi"/>
      <w:b/>
      <w:bCs/>
      <w:color w:val="573C81" w:themeColor="text2"/>
      <w:spacing w:val="-10"/>
      <w:kern w:val="28"/>
      <w:sz w:val="64"/>
      <w:szCs w:val="64"/>
    </w:rPr>
  </w:style>
  <w:style w:type="paragraph" w:styleId="TituloSeccion">
    <w:name w:val="Título de sección"/>
    <w:basedOn w:val="Normal"/>
    <w:next w:val="Filete"/>
    <w:uiPriority w:val="10"/>
    <w:qFormat/>
    <w:pPr>
      <w:keepNext/>
      <w:keepLines/>
      <w:pageBreakBefore/>
      <w:spacing w:before="0" w:after="0" w:line="228" w:lineRule="auto"/>
      <w:ind w:left="1134"/>
    </w:pPr>
    <w:rPr>
      <w:rFonts w:ascii="Inter Display" w:hAnsi="Inter Display" w:cs="Inter Display" w:asciiTheme="majorHAnsi" w:eastAsiaTheme="majorEastAsia" w:hAnsiTheme="majorHAnsi" w:cstheme="majorBidi"/>
      <w:b/>
      <w:bCs/>
      <w:color w:val="573C81" w:themeColor="text2"/>
      <w:spacing w:val="-10"/>
      <w:kern w:val="28"/>
      <w:sz w:val="64"/>
      <w:szCs w:val="64"/>
    </w:rPr>
  </w:style>
  <w:style w:type="paragraph" w:styleId="Filete">
    <w:name w:val="Filete de acento"/>
    <w:basedOn w:val="Normal"/>
    <w:next w:val="Entradilla"/>
    <w:uiPriority w:val="11"/>
    <w:qFormat/>
    <w:pPr>
      <w:keepNext/>
      <w:pBdr>
        <w:bottom w:val="single" w:sz="36" w:space="0" w:color="74E0C1" w:themeColor="accent2"/>
      </w:pBdr>
      <w:spacing w:before="200" w:after="380" w:line="240" w:lineRule="auto"/>
      <w:ind w:left="1134" w:right="7710"/>
    </w:pPr>
    <w:rPr>
      <w:sz w:val="4"/>
      <w:szCs w:val="4"/>
    </w:rPr>
  </w:style>
  <w:style w:type="paragraph" w:styleId="Entradilla">
    <w:name w:val="Entradilla"/>
    <w:basedOn w:val="Normal"/>
    <w:next w:val="Texto"/>
    <w:uiPriority w:val="12"/>
    <w:qFormat/>
    <w:pPr>
      <w:spacing w:after="260" w:line="276" w:lineRule="auto"/>
      <w:ind w:left="1134"/>
    </w:pPr>
    <w:rPr>
      <w:sz w:val="26"/>
      <w:szCs w:val="26"/>
    </w:rPr>
  </w:style>
  <w:style w:type="paragraph" w:styleId="Texto">
    <w:name w:val="Texto"/>
    <w:basedOn w:val="Normal"/>
    <w:next w:val="Texto"/>
    <w:uiPriority w:val="13"/>
    <w:qFormat/>
    <w:pPr>
      <w:spacing w:after="200" w:line="288" w:lineRule="auto"/>
      <w:ind w:left="1134"/>
    </w:pPr>
  </w:style>
  <w:style w:type="paragraph" w:styleId="Destacado">
    <w:name w:val="Frase destacada"/>
    <w:basedOn w:val="Normal"/>
    <w:next w:val="Etiqueta"/>
    <w:uiPriority w:val="14"/>
    <w:qFormat/>
    <w:pPr>
      <w:keepLines/>
      <w:pBdr>
        <w:left w:val="single" w:sz="36" w:space="14" w:color="FFCD70" w:themeColor="accent3"/>
      </w:pBdr>
      <w:spacing w:before="80" w:after="0" w:line="240" w:lineRule="auto"/>
      <w:ind w:left="1134"/>
    </w:pPr>
    <w:rPr>
      <w:rFonts w:ascii="Inter Display" w:hAnsi="Inter Display" w:cs="Inter Display" w:asciiTheme="majorHAnsi" w:eastAsiaTheme="majorEastAsia" w:hAnsiTheme="majorHAnsi" w:cstheme="majorBidi"/>
      <w:b/>
      <w:bCs/>
      <w:color w:val="9169F4" w:themeColor="accent1"/>
      <w:sz w:val="34"/>
      <w:szCs w:val="34"/>
    </w:rPr>
  </w:style>
  <w:style w:type="paragraph" w:styleId="Etiqueta">
    <w:name w:val="Etiqueta"/>
    <w:basedOn w:val="Normal"/>
    <w:next w:val="Medida"/>
    <w:uiPriority w:val="15"/>
    <w:qFormat/>
    <w:pPr>
      <w:keepNext/>
      <w:pBdr>
        <w:bottom w:val="single" w:sz="4" w:space="6" w:color="DCD3EF"/>
      </w:pBdr>
      <w:spacing w:before="520" w:after="40" w:line="240" w:lineRule="auto"/>
    </w:pPr>
    <w:rPr>
      <w:b/>
      <w:bCs/>
      <w:caps/>
      <w:color w:val="9169F4" w:themeColor="accent1"/>
      <w:spacing w:val="40"/>
      <w:sz w:val="18"/>
      <w:szCs w:val="18"/>
    </w:rPr>
  </w:style>
  <w:style w:type="paragraph" w:styleId="Medida">
    <w:name w:val="Medida"/>
    <w:basedOn w:val="Normal"/>
    <w:next w:val="MedidaTexto"/>
    <w:uiPriority w:val="16"/>
    <w:qFormat/>
    <w:pPr>
      <w:keepNext/>
      <w:keepLines/>
      <w:numPr>
        <w:ilvl w:val="1"/>
        <w:numId w:val="1"/>
      </w:numPr>
      <w:spacing w:before="320" w:after="80" w:line="240" w:lineRule="auto"/>
      <w:ind w:left="1134" w:hanging="1134"/>
    </w:pPr>
    <w:rPr>
      <w:rFonts w:ascii="Inter Display" w:hAnsi="Inter Display" w:cs="Inter Display" w:asciiTheme="majorHAnsi" w:eastAsiaTheme="majorEastAsia" w:hAnsiTheme="majorHAnsi" w:cstheme="majorBidi"/>
      <w:b/>
      <w:bCs/>
      <w:color w:val="573C81" w:themeColor="text2"/>
      <w:sz w:val="28"/>
      <w:szCs w:val="28"/>
    </w:rPr>
  </w:style>
  <w:style w:type="paragraph" w:styleId="MedidaTexto">
    <w:name w:val="Medida · explicación"/>
    <w:basedOn w:val="Normal"/>
    <w:next w:val="Medida"/>
    <w:uiPriority w:val="17"/>
    <w:qFormat/>
    <w:pPr>
      <w:keepLines/>
      <w:spacing w:after="0" w:line="288" w:lineRule="auto"/>
      <w:ind w:left="1134"/>
    </w:pPr>
  </w:style>
  <w:style w:type="paragraph" w:styleId="TOC1">
    <w:name w:val="toc 1"/>
    <w:basedOn w:val="Normal"/>
    <w:next w:val="Normal"/>
    <w:uiPriority w:val="39"/>
    <w:semiHidden/>
    <w:unhideWhenUsed/>
    <w:pPr>
      <w:pBdr>
        <w:bottom w:val="single" w:sz="4" w:space="8" w:color="DCD3EF"/>
        <w:between w:val="single" w:sz="4" w:space="8" w:color="DCD3EF"/>
      </w:pBdr>
      <w:tabs>
        <w:tab w:val="right" w:leader="none" w:pos="9638"/>
      </w:tabs>
      <w:spacing w:before="170" w:after="170" w:line="240" w:lineRule="auto"/>
      <w:ind w:left="1134" w:hanging="1134"/>
    </w:pPr>
    <w:rPr>
      <w:rFonts w:ascii="Inter Display" w:hAnsi="Inter Display" w:cs="Inter Display" w:asciiTheme="majorHAnsi" w:eastAsiaTheme="majorEastAsia" w:hAnsiTheme="majorHAnsi" w:cstheme="majorBidi"/>
      <w:b/>
      <w:bCs/>
      <w:noProof/>
      <w:color w:val="573C81" w:themeColor="text2"/>
      <w:sz w:val="28"/>
      <w:szCs w:val="28"/>
    </w:rPr>
  </w:style>
  <w:style w:type="paragraph" w:styleId="Footer">
    <w:name w:val="footer"/>
    <w:basedOn w:val="Normal"/>
    <w:uiPriority w:val="99"/>
    <w:semiHidden/>
    <w:unhideWhenUsed/>
    <w:pPr>
      <w:tabs>
        <w:tab w:val="right" w:pos="9638"/>
      </w:tabs>
      <w:spacing w:after="0" w:line="240" w:lineRule="auto"/>
    </w:pPr>
    <w:rPr>
      <w:color w:val="66616B" w:themeColor="accent6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819"/>
        <w:tab w:val="right" w:pos="9638"/>
      </w:tabs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Theme" Type="http://schemas.openxmlformats.org/officeDocument/2006/relationships/theme" Target="theme/theme1.xml"/><Relationship Id="rIdFooter1" Type="http://schemas.openxmlformats.org/officeDocument/2006/relationships/footer" Target="footer1.xml"/><Relationship Id="rIdFooter2" Type="http://schemas.openxmlformats.org/officeDocument/2006/relationships/footer" Target="footer2.xml"/></Relationships>
</file>

<file path=word/_rels/fontTable.xml.rels><?xml version="1.0" encoding="UTF-8" standalone="yes"?>
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/Relationships>
</file>

<file path=word/theme/theme1.xml><?xml version="1.0" encoding="utf-8"?>
<a:theme xmlns:a="http://schemas.openxmlformats.org/drawingml/2006/main" name="Programa">
  <a:themeElements>
    <a:clrScheme name="Programa">
      <a:dk1>
        <a:srgbClr val="2C2730"/>
      </a:dk1>
      <a:lt1>
        <a:srgbClr val="FFFFFF"/>
      </a:lt1>
      <a:dk2>
        <a:srgbClr val="573C81"/>
      </a:dk2>
      <a:lt2>
        <a:srgbClr val="F3EFFB"/>
      </a:lt2>
      <a:accent1>
        <a:srgbClr val="9169F4"/>
      </a:accent1>
      <a:accent2>
        <a:srgbClr val="74E0C1"/>
      </a:accent2>
      <a:accent3>
        <a:srgbClr val="FFCD70"/>
      </a:accent3>
      <a:accent4>
        <a:srgbClr val="FB643B"/>
      </a:accent4>
      <a:accent5>
        <a:srgbClr val="573C81"/>
      </a:accent5>
      <a:accent6>
        <a:srgbClr val="66616B"/>
      </a:accent6>
      <a:hlink>
        <a:srgbClr val="573C81"/>
      </a:hlink>
      <a:folHlink>
        <a:srgbClr val="9169F4"/>
      </a:folHlink>
    </a:clrScheme>
    <a:fontScheme name="Programa">
      <a:majorFont>
        <a:latin typeface="Inter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nte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programa electoral</dc:title>
  <dc:language>es-ES</dc:language>
  <dcterms:created xsi:type="dcterms:W3CDTF">2026-10-04T18:17:40Z</dcterms:created>
  <dcterms:modified xsi:type="dcterms:W3CDTF">2026-10-04T18:17:40Z</dcterms:modified>
</cp:coreProperties>
</file>