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gente-2-soporte-interno-con-rag"/>
    <w:p>
      <w:pPr>
        <w:pStyle w:val="Heading1"/>
      </w:pPr>
      <w:r>
        <w:t xml:space="preserve">Agente #2 · Soporte interno con RAG</w:t>
      </w:r>
    </w:p>
    <w:p>
      <w:pPr>
        <w:pStyle w:val="FirstParagraph"/>
      </w:pPr>
      <w:r>
        <w:t xml:space="preserve">Notas del proyecto. Se actualizan conforme avanzamos.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Un chat que responde preguntas de un equipo consultando una base de conocimiento real (documentación interna, políticas y preguntas frecuentes de una empresa ficticia). Siempre responde citando sus fuentes y, si no encuentra la respuesta, dice</w:t>
      </w:r>
      <w:r>
        <w:t xml:space="preserve"> </w:t>
      </w:r>
      <w:r>
        <w:t xml:space="preserve">“</w:t>
      </w:r>
      <w:r>
        <w:t xml:space="preserve">no lo sé</w:t>
      </w:r>
      <w:r>
        <w:t xml:space="preserve">”</w:t>
      </w:r>
      <w:r>
        <w:t xml:space="preserve">.</w:t>
      </w:r>
    </w:p>
    <w:bookmarkEnd w:id="20"/>
    <w:bookmarkStart w:id="21" w:name="qué-quiero-demostrar"/>
    <w:p>
      <w:pPr>
        <w:pStyle w:val="Heading2"/>
      </w:pPr>
      <w:r>
        <w:t xml:space="preserve">Qué quiero demostrar</w:t>
      </w:r>
    </w:p>
    <w:p>
      <w:pPr>
        <w:numPr>
          <w:ilvl w:val="0"/>
          <w:numId w:val="1001"/>
        </w:numPr>
        <w:pStyle w:val="Compact"/>
      </w:pPr>
      <w:r>
        <w:t xml:space="preserve">Qué es RAG.</w:t>
      </w:r>
    </w:p>
    <w:p>
      <w:pPr>
        <w:numPr>
          <w:ilvl w:val="0"/>
          <w:numId w:val="1001"/>
        </w:numPr>
        <w:pStyle w:val="Compact"/>
      </w:pPr>
      <w:r>
        <w:t xml:space="preserve">Cómo se ingesta la documentación.</w:t>
      </w:r>
    </w:p>
    <w:p>
      <w:pPr>
        <w:numPr>
          <w:ilvl w:val="0"/>
          <w:numId w:val="1001"/>
        </w:numPr>
        <w:pStyle w:val="Compact"/>
      </w:pPr>
      <w:r>
        <w:t xml:space="preserve">Qué es un vector store.</w:t>
      </w:r>
    </w:p>
    <w:p>
      <w:pPr>
        <w:numPr>
          <w:ilvl w:val="0"/>
          <w:numId w:val="1001"/>
        </w:numPr>
        <w:pStyle w:val="Compact"/>
      </w:pPr>
      <w:r>
        <w:t xml:space="preserve">Toma de decisiones arquitectónicas con base en requerimientos (ADR).</w:t>
      </w:r>
    </w:p>
    <w:p>
      <w:pPr>
        <w:numPr>
          <w:ilvl w:val="0"/>
          <w:numId w:val="1001"/>
        </w:numPr>
        <w:pStyle w:val="Compact"/>
      </w:pPr>
      <w:r>
        <w:t xml:space="preserve">Opcional: Terraform.</w:t>
      </w:r>
    </w:p>
    <w:bookmarkEnd w:id="21"/>
    <w:bookmarkStart w:id="22" w:name="fases"/>
    <w:p>
      <w:pPr>
        <w:pStyle w:val="Heading2"/>
      </w:pPr>
      <w:r>
        <w:t xml:space="preserve">Fases</w:t>
      </w:r>
    </w:p>
    <w:p>
      <w:pPr>
        <w:pStyle w:val="FirstParagraph"/>
      </w:pPr>
      <w:r>
        <w:rPr>
          <w:bCs/>
          <w:b/>
        </w:rPr>
        <w:t xml:space="preserve">Fase 1 · Local.</w:t>
      </w:r>
      <w:r>
        <w:t xml:space="preserve"> </w:t>
      </w:r>
      <w:r>
        <w:t xml:space="preserve">Agente en mi Mac conectado a archivos locales. Responde con las fuentes de donde sacó la respuesta.</w:t>
      </w:r>
    </w:p>
    <w:p>
      <w:pPr>
        <w:pStyle w:val="BodyText"/>
      </w:pPr>
      <w:r>
        <w:rPr>
          <w:bCs/>
          <w:b/>
        </w:rPr>
        <w:t xml:space="preserve">Fase 2 · AWS.</w:t>
      </w:r>
      <w:r>
        <w:t xml:space="preserve"> </w:t>
      </w:r>
      <w:r>
        <w:t xml:space="preserve">Decisión de arquitectura del vector store (S3 Vectors, OpenSearch Serverless, Aurora pgvector) documentada en un ADR: tráfico, costo, latencia y aprendizaje. Documentos en S3, Bedrock Knowledge Base y consultas desde el agente.</w:t>
      </w:r>
    </w:p>
    <w:p>
      <w:pPr>
        <w:pStyle w:val="BodyText"/>
      </w:pPr>
      <w:r>
        <w:rPr>
          <w:bCs/>
          <w:b/>
        </w:rPr>
        <w:t xml:space="preserve">Fase 3 · Confiabilidad.</w:t>
      </w:r>
      <w:r>
        <w:t xml:space="preserve"> </w:t>
      </w:r>
      <w:r>
        <w:t xml:space="preserve">Responder</w:t>
      </w:r>
      <w:r>
        <w:t xml:space="preserve"> </w:t>
      </w:r>
      <w:r>
        <w:t xml:space="preserve">“</w:t>
      </w:r>
      <w:r>
        <w:t xml:space="preserve">no lo sé</w:t>
      </w:r>
      <w:r>
        <w:t xml:space="preserve">”</w:t>
      </w:r>
      <w:r>
        <w:t xml:space="preserve"> </w:t>
      </w:r>
      <w:r>
        <w:t xml:space="preserve">cuando no encuentra la respuesta, mostrar referencias en cada respuesta y un examen de 15 a 20 preguntas (incluidas algunas sin respuesta) para medirlo.</w:t>
      </w:r>
    </w:p>
    <w:p>
      <w:pPr>
        <w:pStyle w:val="BodyText"/>
      </w:pPr>
      <w:r>
        <w:rPr>
          <w:bCs/>
          <w:b/>
        </w:rPr>
        <w:t xml:space="preserve">Opcional · Terraform.</w:t>
      </w:r>
      <w:r>
        <w:t xml:space="preserve"> </w:t>
      </w:r>
      <w:r>
        <w:t xml:space="preserve">Borrar todo y recrearlo con código.</w:t>
      </w:r>
    </w:p>
    <w:bookmarkEnd w:id="22"/>
    <w:bookmarkStart w:id="23" w:name="Xe4357b9e71d075eb07153c9d927d67989f6609f"/>
    <w:p>
      <w:pPr>
        <w:pStyle w:val="Heading2"/>
      </w:pPr>
      <w:r>
        <w:t xml:space="preserve">Arquitectura preliminar (ver agente2-arquitectura-preliminar.png)</w:t>
      </w:r>
    </w:p>
    <w:p>
      <w:pPr>
        <w:pStyle w:val="FirstParagraph"/>
      </w:pPr>
      <w:r>
        <w:rPr>
          <w:bCs/>
          <w:b/>
        </w:rPr>
        <w:t xml:space="preserve">Ingesta (A1 a A4), una vez o cuando cambian los documentos:</w:t>
      </w:r>
    </w:p>
    <w:p>
      <w:pPr>
        <w:numPr>
          <w:ilvl w:val="0"/>
          <w:numId w:val="1002"/>
        </w:numPr>
        <w:pStyle w:val="Compact"/>
      </w:pPr>
      <w:r>
        <w:t xml:space="preserve">A1: subo los documentos a S3 (documentos/).</w:t>
      </w:r>
    </w:p>
    <w:p>
      <w:pPr>
        <w:numPr>
          <w:ilvl w:val="0"/>
          <w:numId w:val="1002"/>
        </w:numPr>
        <w:pStyle w:val="Compact"/>
      </w:pPr>
      <w:r>
        <w:t xml:space="preserve">A2: Bedrock Knowledge Base los corta en pedazos (chunking).</w:t>
      </w:r>
    </w:p>
    <w:p>
      <w:pPr>
        <w:numPr>
          <w:ilvl w:val="0"/>
          <w:numId w:val="1002"/>
        </w:numPr>
        <w:pStyle w:val="Compact"/>
      </w:pPr>
      <w:r>
        <w:t xml:space="preserve">A3: Titan Embeddings convierte cada pedazo en un vector (</w:t>
      </w:r>
      <w:r>
        <w:t xml:space="preserve">“</w:t>
      </w:r>
      <w:r>
        <w:t xml:space="preserve">coordenadas de significado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A4: los vectores se guardan en el vector store (S3 Vectors, por decidir en el ADR).</w:t>
      </w:r>
    </w:p>
    <w:p>
      <w:pPr>
        <w:pStyle w:val="FirstParagraph"/>
      </w:pPr>
      <w:r>
        <w:rPr>
          <w:bCs/>
          <w:b/>
        </w:rPr>
        <w:t xml:space="preserve">Consulta (1 a 7), cada pregunta:</w:t>
      </w:r>
    </w:p>
    <w:p>
      <w:pPr>
        <w:numPr>
          <w:ilvl w:val="0"/>
          <w:numId w:val="1003"/>
        </w:numPr>
        <w:pStyle w:val="Compact"/>
      </w:pPr>
      <w:r>
        <w:t xml:space="preserve">El empleado pregunta.</w:t>
      </w:r>
    </w:p>
    <w:p>
      <w:pPr>
        <w:numPr>
          <w:ilvl w:val="0"/>
          <w:numId w:val="1003"/>
        </w:numPr>
        <w:pStyle w:val="Compact"/>
      </w:pPr>
      <w:r>
        <w:t xml:space="preserve">API Gateway (POST /preguntar) se lo pasa a la Lambda.</w:t>
      </w:r>
    </w:p>
    <w:p>
      <w:pPr>
        <w:numPr>
          <w:ilvl w:val="0"/>
          <w:numId w:val="1003"/>
        </w:numPr>
        <w:pStyle w:val="Compact"/>
      </w:pPr>
      <w:r>
        <w:t xml:space="preserve">La Lambda busca los pedazos más parecidos a la pregunta (Retrieve).</w:t>
      </w:r>
    </w:p>
    <w:p>
      <w:pPr>
        <w:numPr>
          <w:ilvl w:val="0"/>
          <w:numId w:val="1003"/>
        </w:numPr>
        <w:pStyle w:val="Compact"/>
      </w:pPr>
      <w:r>
        <w:t xml:space="preserve">Recibe los 5 pedazos más relevantes y el documento de donde salió cada uno.</w:t>
      </w:r>
    </w:p>
    <w:p>
      <w:pPr>
        <w:numPr>
          <w:ilvl w:val="0"/>
          <w:numId w:val="1003"/>
        </w:numPr>
        <w:pStyle w:val="Compact"/>
      </w:pPr>
      <w:r>
        <w:t xml:space="preserve">Le pide a Claude (Bedrock) que responda solo con esos pedazos, cite fuentes y diga</w:t>
      </w:r>
      <w:r>
        <w:t xml:space="preserve"> </w:t>
      </w:r>
      <w:r>
        <w:t xml:space="preserve">“</w:t>
      </w:r>
      <w:r>
        <w:t xml:space="preserve">no lo sé</w:t>
      </w:r>
      <w:r>
        <w:t xml:space="preserve">”</w:t>
      </w:r>
      <w:r>
        <w:t xml:space="preserve"> </w:t>
      </w:r>
      <w:r>
        <w:t xml:space="preserve">si no está.</w:t>
      </w:r>
    </w:p>
    <w:p>
      <w:pPr>
        <w:numPr>
          <w:ilvl w:val="0"/>
          <w:numId w:val="1003"/>
        </w:numPr>
        <w:pStyle w:val="Compact"/>
      </w:pPr>
      <w:r>
        <w:t xml:space="preserve">La respuesta regresa al empleado con sus fuentes, en segundos (sin</w:t>
      </w:r>
      <w:r>
        <w:t xml:space="preserve"> </w:t>
      </w:r>
      <w:r>
        <w:t xml:space="preserve">“</w:t>
      </w:r>
      <w:r>
        <w:t xml:space="preserve">ticket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La traza se guarda en CloudWatch: tokens, costo, tiempo y fuentes usadas.</w:t>
      </w:r>
    </w:p>
    <w:p>
      <w:pPr>
        <w:pStyle w:val="FirstParagraph"/>
      </w:pPr>
      <w:r>
        <w:rPr>
          <w:bCs/>
          <w:b/>
        </w:rPr>
        <w:t xml:space="preserve">Diferencias con el Agente Investigador:</w:t>
      </w:r>
      <w:r>
        <w:t xml:space="preserve"> </w:t>
      </w:r>
      <w:r>
        <w:t xml:space="preserve">no hay patrón de</w:t>
      </w:r>
      <w:r>
        <w:t xml:space="preserve"> </w:t>
      </w:r>
      <w:r>
        <w:t xml:space="preserve">“</w:t>
      </w:r>
      <w:r>
        <w:t xml:space="preserve">ticket</w:t>
      </w:r>
      <w:r>
        <w:t xml:space="preserve">”</w:t>
      </w:r>
      <w:r>
        <w:t xml:space="preserve"> </w:t>
      </w:r>
      <w:r>
        <w:t xml:space="preserve">(responde en segundos) y no hay búsqueda en internet (solo los documentos de la empresa).</w:t>
      </w:r>
    </w:p>
    <w:bookmarkEnd w:id="23"/>
    <w:bookmarkStart w:id="24" w:name="tiempo-y-costo-estimados"/>
    <w:p>
      <w:pPr>
        <w:pStyle w:val="Heading2"/>
      </w:pPr>
      <w:r>
        <w:t xml:space="preserve">Tiempo y costo estimados</w:t>
      </w:r>
    </w:p>
    <w:p>
      <w:pPr>
        <w:numPr>
          <w:ilvl w:val="0"/>
          <w:numId w:val="1004"/>
        </w:numPr>
        <w:pStyle w:val="Compact"/>
      </w:pPr>
      <w:r>
        <w:t xml:space="preserve">Tiempo: 11 a 14 sesiones (2 a 3 semanas).</w:t>
      </w:r>
    </w:p>
    <w:p>
      <w:pPr>
        <w:numPr>
          <w:ilvl w:val="0"/>
          <w:numId w:val="1004"/>
        </w:numPr>
        <w:pStyle w:val="Compact"/>
      </w:pPr>
      <w:r>
        <w:t xml:space="preserve">Costo total aproximado: 5 a 10 USD (principalmente Claude).</w:t>
      </w:r>
    </w:p>
    <w:p>
      <w:pPr>
        <w:numPr>
          <w:ilvl w:val="0"/>
          <w:numId w:val="1004"/>
        </w:numPr>
        <w:pStyle w:val="Compact"/>
      </w:pPr>
      <w:r>
        <w:t xml:space="preserve">Cuidado: OpenSearch Serverless cobra aunque no se use (puede costar cientos de dólares al mes). Se compara en papel en el ADR y no se deja encendido.</w:t>
      </w:r>
    </w:p>
    <w:bookmarkEnd w:id="24"/>
    <w:bookmarkStart w:id="25" w:name="reglas-desde-el-día-1"/>
    <w:p>
      <w:pPr>
        <w:pStyle w:val="Heading2"/>
      </w:pPr>
      <w:r>
        <w:t xml:space="preserve">Reglas desde el día 1</w:t>
      </w:r>
    </w:p>
    <w:p>
      <w:pPr>
        <w:numPr>
          <w:ilvl w:val="0"/>
          <w:numId w:val="1005"/>
        </w:numPr>
        <w:pStyle w:val="Compact"/>
      </w:pPr>
      <w:r>
        <w:t xml:space="preserve">Repositorio público desde el inicio, con .gitignore completo (.venv/, .env, .DS_Store, __pycache__/, informes/, salidas/, paquete/, *.zip).</w:t>
      </w:r>
    </w:p>
    <w:p>
      <w:pPr>
        <w:numPr>
          <w:ilvl w:val="0"/>
          <w:numId w:val="1005"/>
        </w:numPr>
        <w:pStyle w:val="Compact"/>
      </w:pPr>
      <w:r>
        <w:t xml:space="preserve">Nada de número de cuenta, URL de la API ni llaves en archivos que se suben. Usar marcadores como TU-API o TU-CUENTA.</w:t>
      </w:r>
    </w:p>
    <w:p>
      <w:pPr>
        <w:numPr>
          <w:ilvl w:val="0"/>
          <w:numId w:val="1005"/>
        </w:numPr>
        <w:pStyle w:val="Compact"/>
      </w:pPr>
      <w:r>
        <w:t xml:space="preserve">Documentos de una empresa ficticia, nunca documentos reales de mi trabajo.</w:t>
      </w:r>
    </w:p>
    <w:p>
      <w:pPr>
        <w:numPr>
          <w:ilvl w:val="0"/>
          <w:numId w:val="1005"/>
        </w:numPr>
        <w:pStyle w:val="Compact"/>
      </w:pPr>
      <w:r>
        <w:t xml:space="preserve">Seguridad: rol de IAM con mínimo privilegio, sin llaves, concurrencia reservada y límites en la API.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2026-10-09T01:37:44Z</dcterms:created>
  <dcterms:modified xsi:type="dcterms:W3CDTF">2026-10-09T01:37:44Z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