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41C26"/>
          <w:sz w:val="48"/>
        </w:rPr>
        <w:t>Sistema de Gestión de Inventario RSM</w:t>
      </w:r>
    </w:p>
    <w:p>
      <w:pPr>
        <w:spacing w:after="320"/>
        <w:jc w:val="center"/>
      </w:pPr>
      <w:r>
        <w:rPr>
          <w:rFonts w:ascii="Calibri" w:hAnsi="Calibri"/>
          <w:b w:val="0"/>
          <w:color w:val="5C6776"/>
          <w:sz w:val="28"/>
        </w:rPr>
        <w:t>Informe actualizado: microservicios + agente funcional de IA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</w:tblPr>
      <w:tblGrid>
        <w:gridCol w:w="2500"/>
        <w:gridCol w:w="7400"/>
      </w:tblGrid>
      <w:tr>
        <w:tc>
          <w:tcPr>
            <w:tcW w:type="dxa" w:w="2500"/>
            <w:shd w:fill="E6EE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Campo</w:t>
            </w:r>
          </w:p>
        </w:tc>
        <w:tc>
          <w:tcPr>
            <w:tcW w:type="dxa" w:w="7400"/>
            <w:shd w:fill="E6EE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Información actualizada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Asignatura</w:t>
            </w:r>
          </w:p>
        </w:tc>
        <w:tc>
          <w:tcPr>
            <w:tcW w:type="dxa" w:w="7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INGENIERÍA DE SOLUCIONES CON INTELIGENCIA ARTIFICIAL_001D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Evaluación</w:t>
            </w:r>
          </w:p>
        </w:tc>
        <w:tc>
          <w:tcPr>
            <w:tcW w:type="dxa" w:w="7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Evaluación 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Docente</w:t>
            </w:r>
          </w:p>
        </w:tc>
        <w:tc>
          <w:tcPr>
            <w:tcW w:type="dxa" w:w="7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HECTOR ANDRES MOREL BRIONES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Nombre de equipo</w:t>
            </w:r>
          </w:p>
        </w:tc>
        <w:tc>
          <w:tcPr>
            <w:tcW w:type="dxa" w:w="7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Joaquin Alvarado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Repositorio GitHub</w:t>
            </w:r>
          </w:p>
        </w:tc>
        <w:tc>
          <w:tcPr>
            <w:tcW w:type="dxa" w:w="7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https://github.com/elgatomaleante12/rsm-agente-ep2-entrega</w:t>
            </w:r>
          </w:p>
        </w:tc>
      </w:tr>
    </w:tbl>
    <w:p/>
    <w:p>
      <w:pPr>
        <w:pStyle w:val="Heading1"/>
      </w:pPr>
      <w:r>
        <w:t>1. Problemática y contexto</w:t>
      </w:r>
    </w:p>
    <w:p>
      <w:r>
        <w:rPr>
          <w:rFonts w:ascii="Calibri" w:hAnsi="Calibri"/>
          <w:b w:val="0"/>
          <w:sz w:val="22"/>
        </w:rPr>
        <w:t>Los talleres mecánicos pequeños suelen operar con cuadernos, carpetas físicas y registros en papel. Esto genera fallos frecuentes en el control de stock, errores en pedidos de repuestos, baja trazabilidad de órdenes de trabajo y poca transparencia para el cliente sobre el estado de su vehículo.</w:t>
      </w:r>
    </w:p>
    <w:p>
      <w:r>
        <w:rPr>
          <w:rFonts w:ascii="Calibri" w:hAnsi="Calibri"/>
          <w:b w:val="0"/>
          <w:sz w:val="22"/>
        </w:rPr>
        <w:t>El impacto operativo se observa en retrasos de reparación, duplicación de tareas, pérdida de seguimiento y tiempos muertos al buscar disponibilidad de repuestos. El sistema RSM responde a este problema mediante digitalización de procesos, arquitectura de microservicios y un agente funcional de IA para consultar, razonar y registrar información del inventario.</w:t>
      </w:r>
    </w:p>
    <w:p>
      <w:pPr>
        <w:pStyle w:val="Heading1"/>
      </w:pPr>
      <w:r>
        <w:t>2. Visión del proyecto</w:t>
      </w:r>
    </w:p>
    <w:p>
      <w:r>
        <w:rPr>
          <w:rFonts w:ascii="Calibri" w:hAnsi="Calibri"/>
          <w:b w:val="0"/>
          <w:sz w:val="22"/>
        </w:rPr>
        <w:t>RSM busca transformar la gestión de talleres mecánicos mediante la digitalización completa del flujo operativo. La solución considera sincronización en tiempo real, historial por patente, estados actualizados y trazabilidad desde el ingreso del cliente hasta el cierre de la orden.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Sincronización de datos entre servicios mediante IDs referenciados.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Historial técnico por vehículo para mantener continuidad operacional.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Control de repuestos, costos, facturación y pagos en servicios separados.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Agente de IA para consultas de stock, alertas, reportes y registro de salidas.</w:t>
      </w:r>
    </w:p>
    <w:p>
      <w:pPr>
        <w:pStyle w:val="Heading1"/>
      </w:pPr>
      <w:r>
        <w:t>3. Arquitectura de microservicios</w:t>
      </w:r>
    </w:p>
    <w:p>
      <w:r>
        <w:rPr>
          <w:rFonts w:ascii="Calibri" w:hAnsi="Calibri"/>
          <w:b w:val="0"/>
          <w:sz w:val="22"/>
        </w:rPr>
        <w:t>El sistema implementa 10 microservicios independientes. Cada servicio cubre una parte del flujo del taller y puede evolucionar de forma modular sin afectar directamente a los demás componentes.</w:t>
      </w:r>
    </w:p>
    <w:p>
      <w:r>
        <w:drawing>
          <wp:inline xmlns:a="http://schemas.openxmlformats.org/drawingml/2006/main" xmlns:pic="http://schemas.openxmlformats.org/drawingml/2006/picture">
            <wp:extent cx="6309360" cy="3785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microservicios_actualiz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</w:tblPr>
      <w:tblGrid>
        <w:gridCol w:w="1000"/>
        <w:gridCol w:w="2600"/>
        <w:gridCol w:w="6300"/>
      </w:tblGrid>
      <w:tr>
        <w:tc>
          <w:tcPr>
            <w:tcW w:type="dxa" w:w="100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Puerto</w:t>
            </w:r>
          </w:p>
        </w:tc>
        <w:tc>
          <w:tcPr>
            <w:tcW w:type="dxa" w:w="260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Microservicio</w:t>
            </w:r>
          </w:p>
        </w:tc>
        <w:tc>
          <w:tcPr>
            <w:tcW w:type="dxa" w:w="630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Responsabilidad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cliente-service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Registra clientes y datos de contacto.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vehiculo-service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Asocia vehículos con clientes mediante clienteId.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ordendetrabajo-service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Crea órdenes con vehículo, mecánico, estado y descripción.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mecanico-service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Administra mecánicos, especialidad y contacto.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asignacion-service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Asigna mecánicos a vehículos o trabajos del taller.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repuesto-service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Controla repuestos, precios y stock disponible.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detalleorden-service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Registra costos, cantidades y detalles de cada orden.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factura-service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Genera facturas vinculadas a una orden de trabajo.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8089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pago-service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Registra pagos asociados a facturas.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8090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historial-service</w:t>
            </w:r>
          </w:p>
        </w:tc>
        <w:tc>
          <w:tcPr>
            <w:tcW w:type="dxa" w:w="6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Guarda historial técnico de cada vehículo.</w:t>
            </w:r>
          </w:p>
        </w:tc>
      </w:tr>
    </w:tbl>
    <w:p/>
    <w:p>
      <w:pPr>
        <w:pStyle w:val="Heading1"/>
      </w:pPr>
      <w:r>
        <w:t>4. Modelado estructural y flujo de negocio</w:t>
      </w:r>
    </w:p>
    <w:p>
      <w:r>
        <w:rPr>
          <w:rFonts w:ascii="Calibri" w:hAnsi="Calibri"/>
          <w:b w:val="0"/>
          <w:sz w:val="22"/>
        </w:rPr>
        <w:t>Cada microservicio mantiene su propio dominio de datos. El modelado usa entidades relacionadas por IDs referenciados, evitando acoplamiento entre bases de datos y permitiendo despliegues independientes. Las migraciones de esquema se controlan con Flyway y la persistencia se implementa con Spring Data JPA.</w:t>
      </w:r>
    </w:p>
    <w:p>
      <w:r>
        <w:rPr>
          <w:rFonts w:ascii="Calibri" w:hAnsi="Calibri"/>
          <w:b w:val="0"/>
          <w:sz w:val="22"/>
        </w:rPr>
        <w:t>El flujo de negocio conecta nueve pasos: registro del cliente, asociación del vehículo, creación de orden, asignación de mecánico, gestión de repuestos, cálculo de detalle y costos, generación de factura, registro de pago y actualización del historial del vehículo.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</w:tblPr>
      <w:tblGrid>
        <w:gridCol w:w="2200"/>
        <w:gridCol w:w="3200"/>
        <w:gridCol w:w="4500"/>
      </w:tblGrid>
      <w:tr>
        <w:tc>
          <w:tcPr>
            <w:tcW w:type="dxa" w:w="220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Capa</w:t>
            </w:r>
          </w:p>
        </w:tc>
        <w:tc>
          <w:tcPr>
            <w:tcW w:type="dxa" w:w="320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Tecnología</w:t>
            </w:r>
          </w:p>
        </w:tc>
        <w:tc>
          <w:tcPr>
            <w:tcW w:type="dxa" w:w="450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Rol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Backend microservicios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Java 21 + Spring Boot 3.x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APIs REST para cada dominio del taller.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Persistencia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Spring Data JPA + Hibernate ORM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Mapeo objeto-relacional y repositorios.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Base de datos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MariaDB puerto 5506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Almacenamiento transaccional por servicio.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Migraciones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Flyway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Versionado automático de esquemas.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Validación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Bean Validation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Control de reglas y datos de entrada.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Construcción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Maven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Gestión de dependencias y ciclo de build.</w:t>
            </w:r>
          </w:p>
        </w:tc>
      </w:tr>
    </w:tbl>
    <w:p/>
    <w:p>
      <w:pPr>
        <w:pStyle w:val="Heading1"/>
      </w:pPr>
      <w:r>
        <w:t>5. Agente funcional de IA agregado</w:t>
      </w:r>
    </w:p>
    <w:p>
      <w:r>
        <w:rPr>
          <w:rFonts w:ascii="Calibri" w:hAnsi="Calibri"/>
          <w:b w:val="0"/>
          <w:sz w:val="22"/>
        </w:rPr>
        <w:t>La versión actual incorpora un agente funcional ejecutable en Visual Studio Code. Este agente no reemplaza la arquitectura de microservicios; la complementa como capa inteligente para consulta, escritura, recuperación de contexto y toma de decisiones sobre inventario.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</w:tblPr>
      <w:tblGrid>
        <w:gridCol w:w="2200"/>
        <w:gridCol w:w="7700"/>
      </w:tblGrid>
      <w:tr>
        <w:tc>
          <w:tcPr>
            <w:tcW w:type="dxa" w:w="2200"/>
            <w:shd w:fill="E6EE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Dato</w:t>
            </w:r>
          </w:p>
        </w:tc>
        <w:tc>
          <w:tcPr>
            <w:tcW w:type="dxa" w:w="7700"/>
            <w:shd w:fill="E6EE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Detalle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Proyecto</w:t>
            </w:r>
          </w:p>
        </w:tc>
        <w:tc>
          <w:tcPr>
            <w:tcW w:type="dxa" w:w="7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RSM - Agente Funcional EP2 para inventario mecánico.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Repositorio GitHub</w:t>
            </w:r>
          </w:p>
        </w:tc>
        <w:tc>
          <w:tcPr>
            <w:tcW w:type="dxa" w:w="7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https://github.com/elgatomaleante12/rsm-agente-ep2-entrega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Ejecución local</w:t>
            </w:r>
          </w:p>
        </w:tc>
        <w:tc>
          <w:tcPr>
            <w:tcW w:type="dxa" w:w="7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Abrir rsm-agente-ep2.code-workspace y ejecutar las tareas de VS Code.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API</w:t>
            </w:r>
          </w:p>
        </w:tc>
        <w:tc>
          <w:tcPr>
            <w:tcW w:type="dxa" w:w="7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FastAPI disponible en http://127.0.0.1:8000 y documentación en /docs.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Pruebas</w:t>
            </w:r>
          </w:p>
        </w:tc>
        <w:tc>
          <w:tcPr>
            <w:tcW w:type="dxa" w:w="7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pytest validado con resultado: 6 passed.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375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orquest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Herramientas, memoria y planificación del agente</w:t>
      </w:r>
    </w:p>
    <w:p>
      <w:r>
        <w:rPr>
          <w:rFonts w:ascii="Calibri" w:hAnsi="Calibri"/>
          <w:b w:val="0"/>
          <w:sz w:val="22"/>
        </w:rPr>
        <w:t>El agente se implementa en Python con FastAPI, SQLite y LangChain Core. La clase RSMAgent orquesta un planificador determinístico y cinco herramientas: consultar inventario, registrar salida, generar alertas, recuperar contexto y redactar reportes operativos.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Consulta: recupera stock, ubicación, proveedor y compatibilidad de repuestos.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Escritura: registra salidas de inventario con orden de trabajo, mecánico y vehículo.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Razonamiento: clasifica stock CRÍTICO o BAJO y sugiere reposición.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Memoria: guarda eventos de usuario, respuestas, movimientos y reportes en SQLite.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Recuperación de contexto: combina inventario, reglas operativas y memoria previa.</w:t>
      </w:r>
    </w:p>
    <w:p>
      <w:r>
        <w:rPr>
          <w:rFonts w:ascii="Calibri" w:hAnsi="Calibri"/>
          <w:b w:val="0"/>
          <w:sz w:val="22"/>
        </w:rPr>
        <w:t>La planificación ajusta el comportamiento ante condiciones cambiantes. Si faltan datos de trazabilidad, el agente no descuenta stock; si la cantidad solicitada supera la disponibilidad, rechaza el movimiento; si el stock queda bajo mínimo, registra el evento y advierte la necesidad de reposición.</w:t>
      </w:r>
    </w:p>
    <w:p>
      <w:pPr>
        <w:pStyle w:val="Heading1"/>
      </w:pPr>
      <w:r>
        <w:t>7. Evidencia de funcionamiento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</w:tblPr>
      <w:tblGrid>
        <w:gridCol w:w="1900"/>
        <w:gridCol w:w="3950"/>
        <w:gridCol w:w="4050"/>
      </w:tblGrid>
      <w:tr>
        <w:tc>
          <w:tcPr>
            <w:tcW w:type="dxa" w:w="190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Escenario</w:t>
            </w:r>
          </w:p>
        </w:tc>
        <w:tc>
          <w:tcPr>
            <w:tcW w:type="dxa" w:w="395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Entrada</w:t>
            </w:r>
          </w:p>
        </w:tc>
        <w:tc>
          <w:tcPr>
            <w:tcW w:type="dxa" w:w="4050"/>
            <w:shd w:fill="EE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C26"/>
                <w:sz w:val="22"/>
              </w:rPr>
              <w:t>Resultado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Consulta de stock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¿Cuántos filtros de aceite Toyota quedan?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Responde FO-TOY-001 con stock, ubicación y proveedor.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Alertas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¿Qué ítems están críticos o bajo mínimo?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Lista ítems CRÍTICO/BAJO con proveedor sugerido.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Salida válida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Salida de 2 unidades FO-TOY-001 para OT-778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Descuenta stock y guarda memoria de trazabilidad.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Salida incompleta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Registra salida de 2 unidades FO-TOY-001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Bloquea escritura por falta de OT, mecánico o vehículo.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Reporte</w:t>
            </w:r>
          </w:p>
        </w:tc>
        <w:tc>
          <w:tcPr>
            <w:tcW w:type="dxa" w:w="3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Genera un reporte de alertas de stock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Crea archivo Markdown en outputs/.</w:t>
            </w:r>
          </w:p>
        </w:tc>
      </w:tr>
    </w:tbl>
    <w:p/>
    <w:p>
      <w:pPr>
        <w:pStyle w:val="Heading1"/>
      </w:pPr>
      <w:r>
        <w:t>8. Conclusión</w:t>
      </w:r>
    </w:p>
    <w:p>
      <w:r>
        <w:rPr>
          <w:rFonts w:ascii="Calibri" w:hAnsi="Calibri"/>
          <w:b w:val="0"/>
          <w:sz w:val="22"/>
        </w:rPr>
        <w:t>El sistema RSM queda documentado como una solución integral: por un lado, presenta una arquitectura fullstack basada en microservicios para digitalizar el flujo completo del taller; por otro, incorpora un agente de IA funcional que permite consultar inventario, tomar decisiones operativas, registrar movimientos y conservar memoria de contexto. Esta combinación responde al requerimiento de construir una solución real, ejecutable, verificable y alineada con Ingeniería de Soluciones con Inteligencia Artificial.</w:t>
      </w:r>
    </w:p>
    <w:p>
      <w:pPr>
        <w:pStyle w:val="Heading1"/>
      </w:pPr>
      <w:r>
        <w:t>Referencias</w:t>
      </w:r>
    </w:p>
    <w:p>
      <w:r>
        <w:rPr>
          <w:rFonts w:ascii="Calibri" w:hAnsi="Calibri"/>
          <w:b w:val="0"/>
          <w:sz w:val="22"/>
        </w:rPr>
        <w:t>FastAPI. (2024). FastAPI documentation. https://fastapi.tiangolo.com/</w:t>
      </w:r>
    </w:p>
    <w:p>
      <w:r>
        <w:rPr>
          <w:rFonts w:ascii="Calibri" w:hAnsi="Calibri"/>
          <w:b w:val="0"/>
          <w:sz w:val="22"/>
        </w:rPr>
        <w:t>LangChain. (2024). LangChain documentation. https://python.langchain.com/docs/</w:t>
      </w:r>
    </w:p>
    <w:p>
      <w:r>
        <w:rPr>
          <w:rFonts w:ascii="Calibri" w:hAnsi="Calibri"/>
          <w:b w:val="0"/>
          <w:sz w:val="22"/>
        </w:rPr>
        <w:t>Oracle. (2024). Java documentation. https://docs.oracle.com/en/java/</w:t>
      </w:r>
    </w:p>
    <w:p>
      <w:r>
        <w:rPr>
          <w:rFonts w:ascii="Calibri" w:hAnsi="Calibri"/>
          <w:b w:val="0"/>
          <w:sz w:val="22"/>
        </w:rPr>
        <w:t>Spring. (2024). Spring Boot documentation. https://spring.io/projects/spring-boot</w:t>
      </w:r>
    </w:p>
    <w:p>
      <w:r>
        <w:rPr>
          <w:rFonts w:ascii="Calibri" w:hAnsi="Calibri"/>
          <w:b w:val="0"/>
          <w:sz w:val="22"/>
        </w:rPr>
        <w:t>SQLite. (2024). SQLite documentation. https://sqlite.org/docs.html</w:t>
      </w:r>
    </w:p>
    <w:sectPr w:rsidR="00FC693F" w:rsidRPr="0006063C" w:rsidSect="00034616">
      <w:footerReference w:type="default" r:id="rId9"/>
      <w:pgSz w:w="12240" w:h="15840"/>
      <w:pgMar w:top="1181" w:right="1181" w:bottom="1181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067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067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41C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