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7202A"/>
          <w:sz w:val="44"/>
        </w:rPr>
        <w:t>RSM - Agente Funcional de Gestión de Inventario</w:t>
      </w:r>
    </w:p>
    <w:p>
      <w:pPr>
        <w:spacing w:after="200"/>
      </w:pPr>
      <w:r>
        <w:rPr>
          <w:rFonts w:ascii="Calibri" w:hAnsi="Calibri"/>
          <w:color w:val="5F6978"/>
          <w:sz w:val="25"/>
        </w:rPr>
        <w:t>Informe técnico EP2 | ISY0101 | Versión funcional en Visual Studio Code</w:t>
      </w: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E8EEF5"/>
            <w:tcMar>
              <w:top w:w="80" w:type="dxa"/>
              <w:bottom w:w="80" w:type="dxa"/>
              <w:start w:w="120" w:type="dxa"/>
              <w:end w:w="120" w:type="dxa"/>
            </w:tcMar>
            <w:vAlign w:val="center"/>
          </w:tcPr>
          <w:p>
            <w:pPr>
              <w:spacing w:after="0"/>
            </w:pPr>
            <w:r>
              <w:rPr>
                <w:rFonts w:ascii="Calibri" w:hAnsi="Calibri"/>
                <w:b/>
                <w:color w:val="17202A"/>
                <w:sz w:val="22"/>
              </w:rPr>
              <w:t>Dato</w:t>
            </w:r>
          </w:p>
        </w:tc>
        <w:tc>
          <w:tcPr>
            <w:tcW w:type="dxa" w:w="7360"/>
            <w:shd w:fill="E8EEF5"/>
            <w:tcMar>
              <w:top w:w="80" w:type="dxa"/>
              <w:bottom w:w="80" w:type="dxa"/>
              <w:start w:w="120" w:type="dxa"/>
              <w:end w:w="120" w:type="dxa"/>
            </w:tcMar>
            <w:vAlign w:val="center"/>
          </w:tcPr>
          <w:p>
            <w:pPr>
              <w:spacing w:after="0"/>
            </w:pPr>
            <w:r>
              <w:rPr>
                <w:rFonts w:ascii="Calibri" w:hAnsi="Calibri"/>
                <w:b/>
                <w:color w:val="17202A"/>
                <w:sz w:val="22"/>
              </w:rPr>
              <w:t>Detalle</w:t>
            </w:r>
          </w:p>
        </w:tc>
      </w:tr>
      <w:tr>
        <w:tc>
          <w:tcPr>
            <w:tcW w:type="dxa" w:w="2000"/>
            <w:tcMar>
              <w:top w:w="80" w:type="dxa"/>
              <w:bottom w:w="80" w:type="dxa"/>
              <w:start w:w="120" w:type="dxa"/>
              <w:end w:w="120" w:type="dxa"/>
            </w:tcMar>
            <w:vAlign w:val="center"/>
          </w:tcPr>
          <w:p>
            <w:pPr>
              <w:spacing w:after="0"/>
            </w:pPr>
            <w:r>
              <w:rPr>
                <w:rFonts w:ascii="Calibri" w:hAnsi="Calibri"/>
                <w:sz w:val="22"/>
              </w:rPr>
              <w:t>Proyecto</w:t>
            </w:r>
          </w:p>
        </w:tc>
        <w:tc>
          <w:tcPr>
            <w:tcW w:type="dxa" w:w="7360"/>
            <w:tcMar>
              <w:top w:w="80" w:type="dxa"/>
              <w:bottom w:w="80" w:type="dxa"/>
              <w:start w:w="120" w:type="dxa"/>
              <w:end w:w="120" w:type="dxa"/>
            </w:tcMar>
            <w:vAlign w:val="center"/>
          </w:tcPr>
          <w:p>
            <w:pPr>
              <w:spacing w:after="0"/>
            </w:pPr>
            <w:r>
              <w:rPr>
                <w:rFonts w:ascii="Calibri" w:hAnsi="Calibri"/>
                <w:sz w:val="22"/>
              </w:rPr>
              <w:t>Sistema inteligente RSM para consultas, trazabilidad y alertas de stock.</w:t>
            </w:r>
          </w:p>
        </w:tc>
      </w:tr>
      <w:tr>
        <w:tc>
          <w:tcPr>
            <w:tcW w:type="dxa" w:w="2000"/>
            <w:tcMar>
              <w:top w:w="80" w:type="dxa"/>
              <w:bottom w:w="80" w:type="dxa"/>
              <w:start w:w="120" w:type="dxa"/>
              <w:end w:w="120" w:type="dxa"/>
            </w:tcMar>
            <w:vAlign w:val="center"/>
          </w:tcPr>
          <w:p>
            <w:pPr>
              <w:spacing w:after="0"/>
            </w:pPr>
            <w:r>
              <w:rPr>
                <w:rFonts w:ascii="Calibri" w:hAnsi="Calibri"/>
                <w:sz w:val="22"/>
              </w:rPr>
              <w:t>Repositorio local</w:t>
            </w:r>
          </w:p>
        </w:tc>
        <w:tc>
          <w:tcPr>
            <w:tcW w:type="dxa" w:w="7360"/>
            <w:tcMar>
              <w:top w:w="80" w:type="dxa"/>
              <w:bottom w:w="80" w:type="dxa"/>
              <w:start w:w="120" w:type="dxa"/>
              <w:end w:w="120" w:type="dxa"/>
            </w:tcMar>
            <w:vAlign w:val="center"/>
          </w:tcPr>
          <w:p>
            <w:pPr>
              <w:spacing w:after="0"/>
            </w:pPr>
            <w:r>
              <w:rPr>
                <w:rFonts w:ascii="Calibri" w:hAnsi="Calibri"/>
                <w:sz w:val="22"/>
              </w:rPr>
              <w:t>Carpeta rsm-agente-ep2, lista para abrirse en VS Code o subirse a GitHub/GitLab.</w:t>
            </w:r>
          </w:p>
        </w:tc>
      </w:tr>
      <w:tr>
        <w:tc>
          <w:tcPr>
            <w:tcW w:type="dxa" w:w="2000"/>
            <w:tcMar>
              <w:top w:w="80" w:type="dxa"/>
              <w:bottom w:w="80" w:type="dxa"/>
              <w:start w:w="120" w:type="dxa"/>
              <w:end w:w="120" w:type="dxa"/>
            </w:tcMar>
            <w:vAlign w:val="center"/>
          </w:tcPr>
          <w:p>
            <w:pPr>
              <w:spacing w:after="0"/>
            </w:pPr>
            <w:r>
              <w:rPr>
                <w:rFonts w:ascii="Calibri" w:hAnsi="Calibri"/>
                <w:sz w:val="22"/>
              </w:rPr>
              <w:t>Stack</w:t>
            </w:r>
          </w:p>
        </w:tc>
        <w:tc>
          <w:tcPr>
            <w:tcW w:type="dxa" w:w="7360"/>
            <w:tcMar>
              <w:top w:w="80" w:type="dxa"/>
              <w:bottom w:w="80" w:type="dxa"/>
              <w:start w:w="120" w:type="dxa"/>
              <w:end w:w="120" w:type="dxa"/>
            </w:tcMar>
            <w:vAlign w:val="center"/>
          </w:tcPr>
          <w:p>
            <w:pPr>
              <w:spacing w:after="0"/>
            </w:pPr>
            <w:r>
              <w:rPr>
                <w:rFonts w:ascii="Calibri" w:hAnsi="Calibri"/>
                <w:sz w:val="22"/>
              </w:rPr>
              <w:t>Python 3, FastAPI, SQLite, LangChain Core, HTML/CSS/JS y pytest.</w:t>
            </w:r>
          </w:p>
        </w:tc>
      </w:tr>
    </w:tbl>
    <w:p/>
    <w:p>
      <w:pPr>
        <w:pStyle w:val="Heading1"/>
      </w:pPr>
      <w:r>
        <w:t>1. Propósito y alcance</w:t>
      </w:r>
    </w:p>
    <w:p>
      <w:r>
        <w:rPr>
          <w:rFonts w:ascii="Calibri" w:hAnsi="Calibri"/>
          <w:sz w:val="22"/>
        </w:rPr>
        <w:t>El proyecto transforma el diseño de EP1 en un MVP funcional para el taller RSM. El agente permite consultar inventario en lenguaje natural, registrar salidas con orden de trabajo, detectar quiebres de stock y redactar evidencia operativa. La solucion opera localmente para respetar la restricción de privacidad del caso y evitar dependencia de APIs pagadas.</w:t>
      </w:r>
    </w:p>
    <w:p>
      <w:r>
        <w:rPr>
          <w:rFonts w:ascii="Calibri" w:hAnsi="Calibri"/>
          <w:sz w:val="22"/>
        </w:rPr>
        <w:t>Flujo principal: el mecánico envía una solicitud, FastAPI la entrega al agente, el planificador decide el flujo y las herramientas LangChain consultan o escriben datos en SQLite. La respuesta incluye plan, herramientas utilizadas y memoria reciente, por lo que el evaluador puede validar la orquestación.</w:t>
      </w:r>
    </w:p>
    <w:p>
      <w:r>
        <w:drawing>
          <wp:inline xmlns:a="http://schemas.openxmlformats.org/drawingml/2006/main" xmlns:pic="http://schemas.openxmlformats.org/drawingml/2006/picture">
            <wp:extent cx="5715000" cy="3102429"/>
            <wp:docPr id="1" name="Picture 1"/>
            <wp:cNvGraphicFramePr>
              <a:graphicFrameLocks noChangeAspect="1"/>
            </wp:cNvGraphicFramePr>
            <a:graphic>
              <a:graphicData uri="http://schemas.openxmlformats.org/drawingml/2006/picture">
                <pic:pic>
                  <pic:nvPicPr>
                    <pic:cNvPr id="0" name="diagrama_orquestacion.png"/>
                    <pic:cNvPicPr/>
                  </pic:nvPicPr>
                  <pic:blipFill>
                    <a:blip r:embed="rId10"/>
                    <a:stretch>
                      <a:fillRect/>
                    </a:stretch>
                  </pic:blipFill>
                  <pic:spPr>
                    <a:xfrm>
                      <a:off x="0" y="0"/>
                      <a:ext cx="5715000" cy="3102429"/>
                    </a:xfrm>
                    <a:prstGeom prst="rect"/>
                  </pic:spPr>
                </pic:pic>
              </a:graphicData>
            </a:graphic>
          </wp:inline>
        </w:drawing>
      </w:r>
    </w:p>
    <w:p>
      <w:r>
        <w:br w:type="page"/>
      </w:r>
    </w:p>
    <w:p>
      <w:pPr>
        <w:pStyle w:val="Heading1"/>
      </w:pPr>
      <w:r>
        <w:t>2. Diseño e implementación del agente</w:t>
      </w:r>
    </w:p>
    <w:p>
      <w:r>
        <w:rPr>
          <w:rFonts w:ascii="Calibri" w:hAnsi="Calibri"/>
          <w:sz w:val="22"/>
        </w:rPr>
        <w:t>La implementacion se separa en cinco modulos: API, agente, planificador, herramientas y persistencia. Esta separación permite probar cada responsabilidad y demostrar autonomía sin ocultar la lógica en un script único.</w:t>
      </w:r>
    </w:p>
    <w:tbl>
      <w:tblPr>
        <w:tblStyle w:val="TableGrid"/>
        <w:tblW w:type="dxa" w:w="9360"/>
        <w:jc w:val="left"/>
        <w:tblLook w:firstColumn="1" w:firstRow="1" w:lastColumn="0" w:lastRow="0" w:noHBand="0" w:noVBand="1" w:val="04A0"/>
        <w:tblInd w:w="120" w:type="dxa"/>
      </w:tblPr>
      <w:tblGrid>
        <w:gridCol w:w="1900"/>
        <w:gridCol w:w="4650"/>
        <w:gridCol w:w="2810"/>
      </w:tblGrid>
      <w:tr>
        <w:tc>
          <w:tcPr>
            <w:tcW w:type="dxa" w:w="1900"/>
            <w:shd w:fill="F2F4F7"/>
            <w:tcMar>
              <w:top w:w="80" w:type="dxa"/>
              <w:bottom w:w="80" w:type="dxa"/>
              <w:start w:w="120" w:type="dxa"/>
              <w:end w:w="120" w:type="dxa"/>
            </w:tcMar>
            <w:vAlign w:val="center"/>
          </w:tcPr>
          <w:p>
            <w:pPr>
              <w:spacing w:after="0"/>
            </w:pPr>
            <w:r>
              <w:rPr>
                <w:rFonts w:ascii="Calibri" w:hAnsi="Calibri"/>
                <w:b/>
                <w:color w:val="17202A"/>
                <w:sz w:val="22"/>
              </w:rPr>
              <w:t>Componente</w:t>
            </w:r>
          </w:p>
        </w:tc>
        <w:tc>
          <w:tcPr>
            <w:tcW w:type="dxa" w:w="4650"/>
            <w:shd w:fill="F2F4F7"/>
            <w:tcMar>
              <w:top w:w="80" w:type="dxa"/>
              <w:bottom w:w="80" w:type="dxa"/>
              <w:start w:w="120" w:type="dxa"/>
              <w:end w:w="120" w:type="dxa"/>
            </w:tcMar>
            <w:vAlign w:val="center"/>
          </w:tcPr>
          <w:p>
            <w:pPr>
              <w:spacing w:after="0"/>
            </w:pPr>
            <w:r>
              <w:rPr>
                <w:rFonts w:ascii="Calibri" w:hAnsi="Calibri"/>
                <w:b/>
                <w:color w:val="17202A"/>
                <w:sz w:val="22"/>
              </w:rPr>
              <w:t>Rol técnico</w:t>
            </w:r>
          </w:p>
        </w:tc>
        <w:tc>
          <w:tcPr>
            <w:tcW w:type="dxa" w:w="2810"/>
            <w:shd w:fill="F2F4F7"/>
            <w:tcMar>
              <w:top w:w="80" w:type="dxa"/>
              <w:bottom w:w="80" w:type="dxa"/>
              <w:start w:w="120" w:type="dxa"/>
              <w:end w:w="120" w:type="dxa"/>
            </w:tcMar>
            <w:vAlign w:val="center"/>
          </w:tcPr>
          <w:p>
            <w:pPr>
              <w:spacing w:after="0"/>
            </w:pPr>
            <w:r>
              <w:rPr>
                <w:rFonts w:ascii="Calibri" w:hAnsi="Calibri"/>
                <w:b/>
                <w:color w:val="17202A"/>
                <w:sz w:val="22"/>
              </w:rPr>
              <w:t>Evidencia</w:t>
            </w:r>
          </w:p>
        </w:tc>
      </w:tr>
      <w:tr>
        <w:tc>
          <w:tcPr>
            <w:tcW w:type="dxa" w:w="1900"/>
            <w:tcMar>
              <w:top w:w="80" w:type="dxa"/>
              <w:bottom w:w="80" w:type="dxa"/>
              <w:start w:w="120" w:type="dxa"/>
              <w:end w:w="120" w:type="dxa"/>
            </w:tcMar>
            <w:vAlign w:val="center"/>
          </w:tcPr>
          <w:p>
            <w:pPr>
              <w:spacing w:after="0"/>
            </w:pPr>
            <w:r>
              <w:rPr>
                <w:rFonts w:ascii="Calibri" w:hAnsi="Calibri"/>
                <w:sz w:val="22"/>
              </w:rPr>
              <w:t>app/main.py</w:t>
            </w:r>
          </w:p>
        </w:tc>
        <w:tc>
          <w:tcPr>
            <w:tcW w:type="dxa" w:w="4650"/>
            <w:tcMar>
              <w:top w:w="80" w:type="dxa"/>
              <w:bottom w:w="80" w:type="dxa"/>
              <w:start w:w="120" w:type="dxa"/>
              <w:end w:w="120" w:type="dxa"/>
            </w:tcMar>
            <w:vAlign w:val="center"/>
          </w:tcPr>
          <w:p>
            <w:pPr>
              <w:spacing w:after="0"/>
            </w:pPr>
            <w:r>
              <w:rPr>
                <w:rFonts w:ascii="Calibri" w:hAnsi="Calibri"/>
                <w:sz w:val="22"/>
              </w:rPr>
              <w:t>Expone API REST, interfaz web y endpoints de salud, inventario, chat, memoria y reportes.</w:t>
            </w:r>
          </w:p>
        </w:tc>
        <w:tc>
          <w:tcPr>
            <w:tcW w:type="dxa" w:w="2810"/>
            <w:tcMar>
              <w:top w:w="80" w:type="dxa"/>
              <w:bottom w:w="80" w:type="dxa"/>
              <w:start w:w="120" w:type="dxa"/>
              <w:end w:w="120" w:type="dxa"/>
            </w:tcMar>
            <w:vAlign w:val="center"/>
          </w:tcPr>
          <w:p>
            <w:pPr>
              <w:spacing w:after="0"/>
            </w:pPr>
            <w:r>
              <w:rPr>
                <w:rFonts w:ascii="Calibri" w:hAnsi="Calibri"/>
                <w:sz w:val="22"/>
              </w:rPr>
              <w:t>FastAPI + /docs</w:t>
            </w:r>
          </w:p>
        </w:tc>
      </w:tr>
      <w:tr>
        <w:tc>
          <w:tcPr>
            <w:tcW w:type="dxa" w:w="1900"/>
            <w:tcMar>
              <w:top w:w="80" w:type="dxa"/>
              <w:bottom w:w="80" w:type="dxa"/>
              <w:start w:w="120" w:type="dxa"/>
              <w:end w:w="120" w:type="dxa"/>
            </w:tcMar>
            <w:vAlign w:val="center"/>
          </w:tcPr>
          <w:p>
            <w:pPr>
              <w:spacing w:after="0"/>
            </w:pPr>
            <w:r>
              <w:rPr>
                <w:rFonts w:ascii="Calibri" w:hAnsi="Calibri"/>
                <w:sz w:val="22"/>
              </w:rPr>
              <w:t>app/agent.py</w:t>
            </w:r>
          </w:p>
        </w:tc>
        <w:tc>
          <w:tcPr>
            <w:tcW w:type="dxa" w:w="4650"/>
            <w:tcMar>
              <w:top w:w="80" w:type="dxa"/>
              <w:bottom w:w="80" w:type="dxa"/>
              <w:start w:w="120" w:type="dxa"/>
              <w:end w:w="120" w:type="dxa"/>
            </w:tcMar>
            <w:vAlign w:val="center"/>
          </w:tcPr>
          <w:p>
            <w:pPr>
              <w:spacing w:after="0"/>
            </w:pPr>
            <w:r>
              <w:rPr>
                <w:rFonts w:ascii="Calibri" w:hAnsi="Calibri"/>
                <w:sz w:val="22"/>
              </w:rPr>
              <w:t>Orquesta plan, herramientas y memoria para cada mensaje del usuario.</w:t>
            </w:r>
          </w:p>
        </w:tc>
        <w:tc>
          <w:tcPr>
            <w:tcW w:type="dxa" w:w="2810"/>
            <w:tcMar>
              <w:top w:w="80" w:type="dxa"/>
              <w:bottom w:w="80" w:type="dxa"/>
              <w:start w:w="120" w:type="dxa"/>
              <w:end w:w="120" w:type="dxa"/>
            </w:tcMar>
            <w:vAlign w:val="center"/>
          </w:tcPr>
          <w:p>
            <w:pPr>
              <w:spacing w:after="0"/>
            </w:pPr>
            <w:r>
              <w:rPr>
                <w:rFonts w:ascii="Calibri" w:hAnsi="Calibri"/>
                <w:sz w:val="22"/>
              </w:rPr>
              <w:t>Respuesta con plan y tools_used</w:t>
            </w:r>
          </w:p>
        </w:tc>
      </w:tr>
      <w:tr>
        <w:tc>
          <w:tcPr>
            <w:tcW w:type="dxa" w:w="1900"/>
            <w:tcMar>
              <w:top w:w="80" w:type="dxa"/>
              <w:bottom w:w="80" w:type="dxa"/>
              <w:start w:w="120" w:type="dxa"/>
              <w:end w:w="120" w:type="dxa"/>
            </w:tcMar>
            <w:vAlign w:val="center"/>
          </w:tcPr>
          <w:p>
            <w:pPr>
              <w:spacing w:after="0"/>
            </w:pPr>
            <w:r>
              <w:rPr>
                <w:rFonts w:ascii="Calibri" w:hAnsi="Calibri"/>
                <w:sz w:val="22"/>
              </w:rPr>
              <w:t>app/tools.py</w:t>
            </w:r>
          </w:p>
        </w:tc>
        <w:tc>
          <w:tcPr>
            <w:tcW w:type="dxa" w:w="4650"/>
            <w:tcMar>
              <w:top w:w="80" w:type="dxa"/>
              <w:bottom w:w="80" w:type="dxa"/>
              <w:start w:w="120" w:type="dxa"/>
              <w:end w:w="120" w:type="dxa"/>
            </w:tcMar>
            <w:vAlign w:val="center"/>
          </w:tcPr>
          <w:p>
            <w:pPr>
              <w:spacing w:after="0"/>
            </w:pPr>
            <w:r>
              <w:rPr>
                <w:rFonts w:ascii="Calibri" w:hAnsi="Calibri"/>
                <w:sz w:val="22"/>
              </w:rPr>
              <w:t>Define herramientas LangChain de consulta, escritura, contexto y alertas.</w:t>
            </w:r>
          </w:p>
        </w:tc>
        <w:tc>
          <w:tcPr>
            <w:tcW w:type="dxa" w:w="2810"/>
            <w:tcMar>
              <w:top w:w="80" w:type="dxa"/>
              <w:bottom w:w="80" w:type="dxa"/>
              <w:start w:w="120" w:type="dxa"/>
              <w:end w:w="120" w:type="dxa"/>
            </w:tcMar>
            <w:vAlign w:val="center"/>
          </w:tcPr>
          <w:p>
            <w:pPr>
              <w:spacing w:after="0"/>
            </w:pPr>
            <w:r>
              <w:rPr>
                <w:rFonts w:ascii="Calibri" w:hAnsi="Calibri"/>
                <w:sz w:val="22"/>
              </w:rPr>
              <w:t>StructuredTool</w:t>
            </w:r>
          </w:p>
        </w:tc>
      </w:tr>
      <w:tr>
        <w:tc>
          <w:tcPr>
            <w:tcW w:type="dxa" w:w="1900"/>
            <w:tcMar>
              <w:top w:w="80" w:type="dxa"/>
              <w:bottom w:w="80" w:type="dxa"/>
              <w:start w:w="120" w:type="dxa"/>
              <w:end w:w="120" w:type="dxa"/>
            </w:tcMar>
            <w:vAlign w:val="center"/>
          </w:tcPr>
          <w:p>
            <w:pPr>
              <w:spacing w:after="0"/>
            </w:pPr>
            <w:r>
              <w:rPr>
                <w:rFonts w:ascii="Calibri" w:hAnsi="Calibri"/>
                <w:sz w:val="22"/>
              </w:rPr>
              <w:t>app/database.py</w:t>
            </w:r>
          </w:p>
        </w:tc>
        <w:tc>
          <w:tcPr>
            <w:tcW w:type="dxa" w:w="4650"/>
            <w:tcMar>
              <w:top w:w="80" w:type="dxa"/>
              <w:bottom w:w="80" w:type="dxa"/>
              <w:start w:w="120" w:type="dxa"/>
              <w:end w:w="120" w:type="dxa"/>
            </w:tcMar>
            <w:vAlign w:val="center"/>
          </w:tcPr>
          <w:p>
            <w:pPr>
              <w:spacing w:after="0"/>
            </w:pPr>
            <w:r>
              <w:rPr>
                <w:rFonts w:ascii="Calibri" w:hAnsi="Calibri"/>
                <w:sz w:val="22"/>
              </w:rPr>
              <w:t>Gestiona SQLite, inventario, movimientos y memoria persistente.</w:t>
            </w:r>
          </w:p>
        </w:tc>
        <w:tc>
          <w:tcPr>
            <w:tcW w:type="dxa" w:w="2810"/>
            <w:tcMar>
              <w:top w:w="80" w:type="dxa"/>
              <w:bottom w:w="80" w:type="dxa"/>
              <w:start w:w="120" w:type="dxa"/>
              <w:end w:w="120" w:type="dxa"/>
            </w:tcMar>
            <w:vAlign w:val="center"/>
          </w:tcPr>
          <w:p>
            <w:pPr>
              <w:spacing w:after="0"/>
            </w:pPr>
            <w:r>
              <w:rPr>
                <w:rFonts w:ascii="Calibri" w:hAnsi="Calibri"/>
                <w:sz w:val="22"/>
              </w:rPr>
              <w:t>data/rsm_agent.db</w:t>
            </w:r>
          </w:p>
        </w:tc>
      </w:tr>
      <w:tr>
        <w:tc>
          <w:tcPr>
            <w:tcW w:type="dxa" w:w="1900"/>
            <w:tcMar>
              <w:top w:w="80" w:type="dxa"/>
              <w:bottom w:w="80" w:type="dxa"/>
              <w:start w:w="120" w:type="dxa"/>
              <w:end w:w="120" w:type="dxa"/>
            </w:tcMar>
            <w:vAlign w:val="center"/>
          </w:tcPr>
          <w:p>
            <w:pPr>
              <w:spacing w:after="0"/>
            </w:pPr>
            <w:r>
              <w:rPr>
                <w:rFonts w:ascii="Calibri" w:hAnsi="Calibri"/>
                <w:sz w:val="22"/>
              </w:rPr>
              <w:t>app/retriever.py</w:t>
            </w:r>
          </w:p>
        </w:tc>
        <w:tc>
          <w:tcPr>
            <w:tcW w:type="dxa" w:w="4650"/>
            <w:tcMar>
              <w:top w:w="80" w:type="dxa"/>
              <w:bottom w:w="80" w:type="dxa"/>
              <w:start w:w="120" w:type="dxa"/>
              <w:end w:w="120" w:type="dxa"/>
            </w:tcMar>
            <w:vAlign w:val="center"/>
          </w:tcPr>
          <w:p>
            <w:pPr>
              <w:spacing w:after="0"/>
            </w:pPr>
            <w:r>
              <w:rPr>
                <w:rFonts w:ascii="Calibri" w:hAnsi="Calibri"/>
                <w:sz w:val="22"/>
              </w:rPr>
              <w:t>Recupera contexto local desde inventario, reglas y memoria por similitud.</w:t>
            </w:r>
          </w:p>
        </w:tc>
        <w:tc>
          <w:tcPr>
            <w:tcW w:type="dxa" w:w="2810"/>
            <w:tcMar>
              <w:top w:w="80" w:type="dxa"/>
              <w:bottom w:w="80" w:type="dxa"/>
              <w:start w:w="120" w:type="dxa"/>
              <w:end w:w="120" w:type="dxa"/>
            </w:tcMar>
            <w:vAlign w:val="center"/>
          </w:tcPr>
          <w:p>
            <w:pPr>
              <w:spacing w:after="0"/>
            </w:pPr>
            <w:r>
              <w:rPr>
                <w:rFonts w:ascii="Calibri" w:hAnsi="Calibri"/>
                <w:sz w:val="22"/>
              </w:rPr>
              <w:t>hits con score</w:t>
            </w:r>
          </w:p>
        </w:tc>
      </w:tr>
    </w:tbl>
    <w:p/>
    <w:p>
      <w:pPr>
        <w:pStyle w:val="Heading2"/>
      </w:pPr>
      <w:r>
        <w:t>Herramientas integradas</w:t>
      </w:r>
    </w:p>
    <w:p>
      <w:pPr>
        <w:pStyle w:val="ListBullet"/>
      </w:pPr>
      <w:r>
        <w:rPr>
          <w:rFonts w:ascii="Calibri" w:hAnsi="Calibri"/>
          <w:sz w:val="22"/>
        </w:rPr>
        <w:t>Consulta: consultar_inventario recupera repuestos, stock, ubicación, proveedor y compatibilidad.</w:t>
      </w:r>
    </w:p>
    <w:p>
      <w:pPr>
        <w:pStyle w:val="ListBullet"/>
      </w:pPr>
      <w:r>
        <w:rPr>
          <w:rFonts w:ascii="Calibri" w:hAnsi="Calibri"/>
          <w:sz w:val="22"/>
        </w:rPr>
        <w:t>Escritura: registrar_salida descuenta stock con trazabilidad y redactar_reporte_alertas genera evidencia en outputs.</w:t>
      </w:r>
    </w:p>
    <w:p>
      <w:pPr>
        <w:pStyle w:val="ListBullet"/>
      </w:pPr>
      <w:r>
        <w:rPr>
          <w:rFonts w:ascii="Calibri" w:hAnsi="Calibri"/>
          <w:sz w:val="22"/>
        </w:rPr>
        <w:t>Razonamiento: generar_alertas clasifica CRÍTICO o BAJO y recomienda reposición según prioridad.</w:t>
      </w:r>
    </w:p>
    <w:p>
      <w:r>
        <w:br w:type="page"/>
      </w:r>
    </w:p>
    <w:p>
      <w:pPr>
        <w:pStyle w:val="Heading1"/>
      </w:pPr>
      <w:r>
        <w:t>3. Memoria, contexto y planificación</w:t>
      </w:r>
    </w:p>
    <w:p>
      <w:r>
        <w:rPr>
          <w:rFonts w:ascii="Calibri" w:hAnsi="Calibri"/>
          <w:sz w:val="22"/>
        </w:rPr>
        <w:t>La memoria corta se representa con los últimos eventos de la sesión; la memoria larga queda persistida en la tabla memory de SQLite. Cada salida registrada guarda una huella con OT, mecánico, vehículo, repuesto y stock resultante. La recuperación de contexto combina tres fuentes: inventario vigente, reglas operativas y memoria histórica de la sesión.</w:t>
      </w:r>
    </w:p>
    <w:tbl>
      <w:tblPr>
        <w:tblStyle w:val="TableGrid"/>
        <w:tblW w:type="dxa" w:w="9360"/>
        <w:jc w:val="left"/>
        <w:tblLook w:firstColumn="1" w:firstRow="1" w:lastColumn="0" w:lastRow="0" w:noHBand="0" w:noVBand="1" w:val="04A0"/>
        <w:tblInd w:w="120" w:type="dxa"/>
      </w:tblPr>
      <w:tblGrid>
        <w:gridCol w:w="2100"/>
        <w:gridCol w:w="4200"/>
        <w:gridCol w:w="3060"/>
      </w:tblGrid>
      <w:tr>
        <w:tc>
          <w:tcPr>
            <w:tcW w:type="dxa" w:w="2100"/>
            <w:shd w:fill="F2F4F7"/>
            <w:tcMar>
              <w:top w:w="80" w:type="dxa"/>
              <w:bottom w:w="80" w:type="dxa"/>
              <w:start w:w="120" w:type="dxa"/>
              <w:end w:w="120" w:type="dxa"/>
            </w:tcMar>
            <w:vAlign w:val="center"/>
          </w:tcPr>
          <w:p>
            <w:pPr>
              <w:spacing w:after="0"/>
            </w:pPr>
            <w:r>
              <w:rPr>
                <w:rFonts w:ascii="Calibri" w:hAnsi="Calibri"/>
                <w:b/>
                <w:color w:val="17202A"/>
                <w:sz w:val="22"/>
              </w:rPr>
              <w:t>Escenario</w:t>
            </w:r>
          </w:p>
        </w:tc>
        <w:tc>
          <w:tcPr>
            <w:tcW w:type="dxa" w:w="4200"/>
            <w:shd w:fill="F2F4F7"/>
            <w:tcMar>
              <w:top w:w="80" w:type="dxa"/>
              <w:bottom w:w="80" w:type="dxa"/>
              <w:start w:w="120" w:type="dxa"/>
              <w:end w:w="120" w:type="dxa"/>
            </w:tcMar>
            <w:vAlign w:val="center"/>
          </w:tcPr>
          <w:p>
            <w:pPr>
              <w:spacing w:after="0"/>
            </w:pPr>
            <w:r>
              <w:rPr>
                <w:rFonts w:ascii="Calibri" w:hAnsi="Calibri"/>
                <w:b/>
                <w:color w:val="17202A"/>
                <w:sz w:val="22"/>
              </w:rPr>
              <w:t>Decisión adaptativa del agente</w:t>
            </w:r>
          </w:p>
        </w:tc>
        <w:tc>
          <w:tcPr>
            <w:tcW w:type="dxa" w:w="3060"/>
            <w:shd w:fill="F2F4F7"/>
            <w:tcMar>
              <w:top w:w="80" w:type="dxa"/>
              <w:bottom w:w="80" w:type="dxa"/>
              <w:start w:w="120" w:type="dxa"/>
              <w:end w:w="120" w:type="dxa"/>
            </w:tcMar>
            <w:vAlign w:val="center"/>
          </w:tcPr>
          <w:p>
            <w:pPr>
              <w:spacing w:after="0"/>
            </w:pPr>
            <w:r>
              <w:rPr>
                <w:rFonts w:ascii="Calibri" w:hAnsi="Calibri"/>
                <w:b/>
                <w:color w:val="17202A"/>
                <w:sz w:val="22"/>
              </w:rPr>
              <w:t>Resultado esperado</w:t>
            </w:r>
          </w:p>
        </w:tc>
      </w:tr>
      <w:tr>
        <w:tc>
          <w:tcPr>
            <w:tcW w:type="dxa" w:w="2100"/>
            <w:tcMar>
              <w:top w:w="80" w:type="dxa"/>
              <w:bottom w:w="80" w:type="dxa"/>
              <w:start w:w="120" w:type="dxa"/>
              <w:end w:w="120" w:type="dxa"/>
            </w:tcMar>
            <w:vAlign w:val="center"/>
          </w:tcPr>
          <w:p>
            <w:pPr>
              <w:spacing w:after="0"/>
            </w:pPr>
            <w:r>
              <w:rPr>
                <w:rFonts w:ascii="Calibri" w:hAnsi="Calibri"/>
                <w:sz w:val="22"/>
              </w:rPr>
              <w:t>Consulta de stock</w:t>
            </w:r>
          </w:p>
        </w:tc>
        <w:tc>
          <w:tcPr>
            <w:tcW w:type="dxa" w:w="4200"/>
            <w:tcMar>
              <w:top w:w="80" w:type="dxa"/>
              <w:bottom w:w="80" w:type="dxa"/>
              <w:start w:w="120" w:type="dxa"/>
              <w:end w:w="120" w:type="dxa"/>
            </w:tcMar>
            <w:vAlign w:val="center"/>
          </w:tcPr>
          <w:p>
            <w:pPr>
              <w:spacing w:after="0"/>
            </w:pPr>
            <w:r>
              <w:rPr>
                <w:rFonts w:ascii="Calibri" w:hAnsi="Calibri"/>
                <w:sz w:val="22"/>
              </w:rPr>
              <w:t>Busca contexto relevante y responde con fuente.</w:t>
            </w:r>
          </w:p>
        </w:tc>
        <w:tc>
          <w:tcPr>
            <w:tcW w:type="dxa" w:w="3060"/>
            <w:tcMar>
              <w:top w:w="80" w:type="dxa"/>
              <w:bottom w:w="80" w:type="dxa"/>
              <w:start w:w="120" w:type="dxa"/>
              <w:end w:w="120" w:type="dxa"/>
            </w:tcMar>
            <w:vAlign w:val="center"/>
          </w:tcPr>
          <w:p>
            <w:pPr>
              <w:spacing w:after="0"/>
            </w:pPr>
            <w:r>
              <w:rPr>
                <w:rFonts w:ascii="Calibri" w:hAnsi="Calibri"/>
                <w:sz w:val="22"/>
              </w:rPr>
              <w:t>Stock, ubicación, proveedor y compatibilidad.</w:t>
            </w:r>
          </w:p>
        </w:tc>
      </w:tr>
      <w:tr>
        <w:tc>
          <w:tcPr>
            <w:tcW w:type="dxa" w:w="2100"/>
            <w:tcMar>
              <w:top w:w="80" w:type="dxa"/>
              <w:bottom w:w="80" w:type="dxa"/>
              <w:start w:w="120" w:type="dxa"/>
              <w:end w:w="120" w:type="dxa"/>
            </w:tcMar>
            <w:vAlign w:val="center"/>
          </w:tcPr>
          <w:p>
            <w:pPr>
              <w:spacing w:after="0"/>
            </w:pPr>
            <w:r>
              <w:rPr>
                <w:rFonts w:ascii="Calibri" w:hAnsi="Calibri"/>
                <w:sz w:val="22"/>
              </w:rPr>
              <w:t>Salida incompleta</w:t>
            </w:r>
          </w:p>
        </w:tc>
        <w:tc>
          <w:tcPr>
            <w:tcW w:type="dxa" w:w="4200"/>
            <w:tcMar>
              <w:top w:w="80" w:type="dxa"/>
              <w:bottom w:w="80" w:type="dxa"/>
              <w:start w:w="120" w:type="dxa"/>
              <w:end w:w="120" w:type="dxa"/>
            </w:tcMar>
            <w:vAlign w:val="center"/>
          </w:tcPr>
          <w:p>
            <w:pPr>
              <w:spacing w:after="0"/>
            </w:pPr>
            <w:r>
              <w:rPr>
                <w:rFonts w:ascii="Calibri" w:hAnsi="Calibri"/>
                <w:sz w:val="22"/>
              </w:rPr>
              <w:t>Detecta campos faltantes antes de escribir.</w:t>
            </w:r>
          </w:p>
        </w:tc>
        <w:tc>
          <w:tcPr>
            <w:tcW w:type="dxa" w:w="3060"/>
            <w:tcMar>
              <w:top w:w="80" w:type="dxa"/>
              <w:bottom w:w="80" w:type="dxa"/>
              <w:start w:w="120" w:type="dxa"/>
              <w:end w:w="120" w:type="dxa"/>
            </w:tcMar>
            <w:vAlign w:val="center"/>
          </w:tcPr>
          <w:p>
            <w:pPr>
              <w:spacing w:after="0"/>
            </w:pPr>
            <w:r>
              <w:rPr>
                <w:rFonts w:ascii="Calibri" w:hAnsi="Calibri"/>
                <w:sz w:val="22"/>
              </w:rPr>
              <w:t>No descuenta stock y solicita OT/mecánico/vehículo.</w:t>
            </w:r>
          </w:p>
        </w:tc>
      </w:tr>
      <w:tr>
        <w:tc>
          <w:tcPr>
            <w:tcW w:type="dxa" w:w="2100"/>
            <w:tcMar>
              <w:top w:w="80" w:type="dxa"/>
              <w:bottom w:w="80" w:type="dxa"/>
              <w:start w:w="120" w:type="dxa"/>
              <w:end w:w="120" w:type="dxa"/>
            </w:tcMar>
            <w:vAlign w:val="center"/>
          </w:tcPr>
          <w:p>
            <w:pPr>
              <w:spacing w:after="0"/>
            </w:pPr>
            <w:r>
              <w:rPr>
                <w:rFonts w:ascii="Calibri" w:hAnsi="Calibri"/>
                <w:sz w:val="22"/>
              </w:rPr>
              <w:t>Stock insuficiente</w:t>
            </w:r>
          </w:p>
        </w:tc>
        <w:tc>
          <w:tcPr>
            <w:tcW w:type="dxa" w:w="4200"/>
            <w:tcMar>
              <w:top w:w="80" w:type="dxa"/>
              <w:bottom w:w="80" w:type="dxa"/>
              <w:start w:w="120" w:type="dxa"/>
              <w:end w:w="120" w:type="dxa"/>
            </w:tcMar>
            <w:vAlign w:val="center"/>
          </w:tcPr>
          <w:p>
            <w:pPr>
              <w:spacing w:after="0"/>
            </w:pPr>
            <w:r>
              <w:rPr>
                <w:rFonts w:ascii="Calibri" w:hAnsi="Calibri"/>
                <w:sz w:val="22"/>
              </w:rPr>
              <w:t>Valida disponibilidad antes del movimiento.</w:t>
            </w:r>
          </w:p>
        </w:tc>
        <w:tc>
          <w:tcPr>
            <w:tcW w:type="dxa" w:w="3060"/>
            <w:tcMar>
              <w:top w:w="80" w:type="dxa"/>
              <w:bottom w:w="80" w:type="dxa"/>
              <w:start w:w="120" w:type="dxa"/>
              <w:end w:w="120" w:type="dxa"/>
            </w:tcMar>
            <w:vAlign w:val="center"/>
          </w:tcPr>
          <w:p>
            <w:pPr>
              <w:spacing w:after="0"/>
            </w:pPr>
            <w:r>
              <w:rPr>
                <w:rFonts w:ascii="Calibri" w:hAnsi="Calibri"/>
                <w:sz w:val="22"/>
              </w:rPr>
              <w:t>Rechaza la salida y conserva inventario.</w:t>
            </w:r>
          </w:p>
        </w:tc>
      </w:tr>
      <w:tr>
        <w:tc>
          <w:tcPr>
            <w:tcW w:type="dxa" w:w="2100"/>
            <w:tcMar>
              <w:top w:w="80" w:type="dxa"/>
              <w:bottom w:w="80" w:type="dxa"/>
              <w:start w:w="120" w:type="dxa"/>
              <w:end w:w="120" w:type="dxa"/>
            </w:tcMar>
            <w:vAlign w:val="center"/>
          </w:tcPr>
          <w:p>
            <w:pPr>
              <w:spacing w:after="0"/>
            </w:pPr>
            <w:r>
              <w:rPr>
                <w:rFonts w:ascii="Calibri" w:hAnsi="Calibri"/>
                <w:sz w:val="22"/>
              </w:rPr>
              <w:t>Stock bajo mínimo</w:t>
            </w:r>
          </w:p>
        </w:tc>
        <w:tc>
          <w:tcPr>
            <w:tcW w:type="dxa" w:w="4200"/>
            <w:tcMar>
              <w:top w:w="80" w:type="dxa"/>
              <w:bottom w:w="80" w:type="dxa"/>
              <w:start w:w="120" w:type="dxa"/>
              <w:end w:w="120" w:type="dxa"/>
            </w:tcMar>
            <w:vAlign w:val="center"/>
          </w:tcPr>
          <w:p>
            <w:pPr>
              <w:spacing w:after="0"/>
            </w:pPr>
            <w:r>
              <w:rPr>
                <w:rFonts w:ascii="Calibri" w:hAnsi="Calibri"/>
                <w:sz w:val="22"/>
              </w:rPr>
              <w:t>Registra salida y agrega advertencia operacional.</w:t>
            </w:r>
          </w:p>
        </w:tc>
        <w:tc>
          <w:tcPr>
            <w:tcW w:type="dxa" w:w="3060"/>
            <w:tcMar>
              <w:top w:w="80" w:type="dxa"/>
              <w:bottom w:w="80" w:type="dxa"/>
              <w:start w:w="120" w:type="dxa"/>
              <w:end w:w="120" w:type="dxa"/>
            </w:tcMar>
            <w:vAlign w:val="center"/>
          </w:tcPr>
          <w:p>
            <w:pPr>
              <w:spacing w:after="0"/>
            </w:pPr>
            <w:r>
              <w:rPr>
                <w:rFonts w:ascii="Calibri" w:hAnsi="Calibri"/>
                <w:sz w:val="22"/>
              </w:rPr>
              <w:t>Recomienda reposición al proveedor.</w:t>
            </w:r>
          </w:p>
        </w:tc>
      </w:tr>
    </w:tbl>
    <w:p/>
    <w:p>
      <w:pPr>
        <w:pStyle w:val="Heading2"/>
      </w:pPr>
      <w:r>
        <w:t>Planificación de tareas</w:t>
      </w:r>
    </w:p>
    <w:p>
      <w:r>
        <w:rPr>
          <w:rFonts w:ascii="Calibri" w:hAnsi="Calibri"/>
          <w:sz w:val="22"/>
        </w:rPr>
        <w:t>El módulo app/planner.py clasifica la intención en consultar_stock, registrar_salida, generar_alertas, recomendar_reposicion o redactar_reporte. Para cada intención secuencia pasos: validar datos, consultar contexto, ejecutar herramienta, registrar memoria y responder con evidencia.</w:t>
      </w:r>
    </w:p>
    <w:p>
      <w:r>
        <w:br w:type="page"/>
      </w:r>
    </w:p>
    <w:p>
      <w:pPr>
        <w:pStyle w:val="Heading1"/>
      </w:pPr>
      <w:r>
        <w:t>4. Evidencia de funcionamiento</w:t>
      </w:r>
    </w:p>
    <w:p>
      <w:r>
        <w:rPr>
          <w:rFonts w:ascii="Calibri" w:hAnsi="Calibri"/>
          <w:sz w:val="22"/>
        </w:rPr>
        <w:t>El proyecto fue preparado para Visual Studio Code con archivo .code-workspace, launch.json y tasks.json. El evaluador puede instalar dependencias, iniciar la API y ejecutar pruebas desde Terminal &gt; Run Task o con F5.</w:t>
      </w:r>
    </w:p>
    <w:tbl>
      <w:tblPr>
        <w:tblStyle w:val="TableGrid"/>
        <w:tblW w:type="dxa" w:w="9360"/>
        <w:jc w:val="left"/>
        <w:tblLook w:firstColumn="1" w:firstRow="1" w:lastColumn="0" w:lastRow="0" w:noHBand="0" w:noVBand="1" w:val="04A0"/>
        <w:tblInd w:w="120" w:type="dxa"/>
      </w:tblPr>
      <w:tblGrid>
        <w:gridCol w:w="2100"/>
        <w:gridCol w:w="3950"/>
        <w:gridCol w:w="3310"/>
      </w:tblGrid>
      <w:tr>
        <w:tc>
          <w:tcPr>
            <w:tcW w:type="dxa" w:w="2100"/>
            <w:shd w:fill="F2F4F7"/>
            <w:tcMar>
              <w:top w:w="80" w:type="dxa"/>
              <w:bottom w:w="80" w:type="dxa"/>
              <w:start w:w="120" w:type="dxa"/>
              <w:end w:w="120" w:type="dxa"/>
            </w:tcMar>
            <w:vAlign w:val="center"/>
          </w:tcPr>
          <w:p>
            <w:pPr>
              <w:spacing w:after="0"/>
            </w:pPr>
            <w:r>
              <w:rPr>
                <w:rFonts w:ascii="Calibri" w:hAnsi="Calibri"/>
                <w:b/>
                <w:color w:val="17202A"/>
                <w:sz w:val="22"/>
              </w:rPr>
              <w:t>Prueba</w:t>
            </w:r>
          </w:p>
        </w:tc>
        <w:tc>
          <w:tcPr>
            <w:tcW w:type="dxa" w:w="3950"/>
            <w:shd w:fill="F2F4F7"/>
            <w:tcMar>
              <w:top w:w="80" w:type="dxa"/>
              <w:bottom w:w="80" w:type="dxa"/>
              <w:start w:w="120" w:type="dxa"/>
              <w:end w:w="120" w:type="dxa"/>
            </w:tcMar>
            <w:vAlign w:val="center"/>
          </w:tcPr>
          <w:p>
            <w:pPr>
              <w:spacing w:after="0"/>
            </w:pPr>
            <w:r>
              <w:rPr>
                <w:rFonts w:ascii="Calibri" w:hAnsi="Calibri"/>
                <w:b/>
                <w:color w:val="17202A"/>
                <w:sz w:val="22"/>
              </w:rPr>
              <w:t>Comando o entrada</w:t>
            </w:r>
          </w:p>
        </w:tc>
        <w:tc>
          <w:tcPr>
            <w:tcW w:type="dxa" w:w="3310"/>
            <w:shd w:fill="F2F4F7"/>
            <w:tcMar>
              <w:top w:w="80" w:type="dxa"/>
              <w:bottom w:w="80" w:type="dxa"/>
              <w:start w:w="120" w:type="dxa"/>
              <w:end w:w="120" w:type="dxa"/>
            </w:tcMar>
            <w:vAlign w:val="center"/>
          </w:tcPr>
          <w:p>
            <w:pPr>
              <w:spacing w:after="0"/>
            </w:pPr>
            <w:r>
              <w:rPr>
                <w:rFonts w:ascii="Calibri" w:hAnsi="Calibri"/>
                <w:b/>
                <w:color w:val="17202A"/>
                <w:sz w:val="22"/>
              </w:rPr>
              <w:t>Evidencia</w:t>
            </w:r>
          </w:p>
        </w:tc>
      </w:tr>
      <w:tr>
        <w:tc>
          <w:tcPr>
            <w:tcW w:type="dxa" w:w="2100"/>
            <w:tcMar>
              <w:top w:w="80" w:type="dxa"/>
              <w:bottom w:w="80" w:type="dxa"/>
              <w:start w:w="120" w:type="dxa"/>
              <w:end w:w="120" w:type="dxa"/>
            </w:tcMar>
            <w:vAlign w:val="center"/>
          </w:tcPr>
          <w:p>
            <w:pPr>
              <w:spacing w:after="0"/>
            </w:pPr>
            <w:r>
              <w:rPr>
                <w:rFonts w:ascii="Calibri" w:hAnsi="Calibri"/>
                <w:sz w:val="22"/>
              </w:rPr>
              <w:t>Tests automatizados</w:t>
            </w:r>
          </w:p>
        </w:tc>
        <w:tc>
          <w:tcPr>
            <w:tcW w:type="dxa" w:w="3950"/>
            <w:tcMar>
              <w:top w:w="80" w:type="dxa"/>
              <w:bottom w:w="80" w:type="dxa"/>
              <w:start w:w="120" w:type="dxa"/>
              <w:end w:w="120" w:type="dxa"/>
            </w:tcMar>
            <w:vAlign w:val="center"/>
          </w:tcPr>
          <w:p>
            <w:pPr>
              <w:spacing w:after="0"/>
            </w:pPr>
            <w:r>
              <w:rPr>
                <w:rFonts w:ascii="Calibri" w:hAnsi="Calibri"/>
                <w:sz w:val="22"/>
              </w:rPr>
              <w:t>.\.venv\Scripts\python.exe -m pytest -q</w:t>
            </w:r>
          </w:p>
        </w:tc>
        <w:tc>
          <w:tcPr>
            <w:tcW w:type="dxa" w:w="3310"/>
            <w:tcMar>
              <w:top w:w="80" w:type="dxa"/>
              <w:bottom w:w="80" w:type="dxa"/>
              <w:start w:w="120" w:type="dxa"/>
              <w:end w:w="120" w:type="dxa"/>
            </w:tcMar>
            <w:vAlign w:val="center"/>
          </w:tcPr>
          <w:p>
            <w:pPr>
              <w:spacing w:after="0"/>
            </w:pPr>
            <w:r>
              <w:rPr>
                <w:rFonts w:ascii="Calibri" w:hAnsi="Calibri"/>
                <w:sz w:val="22"/>
              </w:rPr>
              <w:t>6 passed</w:t>
            </w:r>
          </w:p>
        </w:tc>
      </w:tr>
      <w:tr>
        <w:tc>
          <w:tcPr>
            <w:tcW w:type="dxa" w:w="2100"/>
            <w:tcMar>
              <w:top w:w="80" w:type="dxa"/>
              <w:bottom w:w="80" w:type="dxa"/>
              <w:start w:w="120" w:type="dxa"/>
              <w:end w:w="120" w:type="dxa"/>
            </w:tcMar>
            <w:vAlign w:val="center"/>
          </w:tcPr>
          <w:p>
            <w:pPr>
              <w:spacing w:after="0"/>
            </w:pPr>
            <w:r>
              <w:rPr>
                <w:rFonts w:ascii="Calibri" w:hAnsi="Calibri"/>
                <w:sz w:val="22"/>
              </w:rPr>
              <w:t>Consulta</w:t>
            </w:r>
          </w:p>
        </w:tc>
        <w:tc>
          <w:tcPr>
            <w:tcW w:type="dxa" w:w="3950"/>
            <w:tcMar>
              <w:top w:w="80" w:type="dxa"/>
              <w:bottom w:w="80" w:type="dxa"/>
              <w:start w:w="120" w:type="dxa"/>
              <w:end w:w="120" w:type="dxa"/>
            </w:tcMar>
            <w:vAlign w:val="center"/>
          </w:tcPr>
          <w:p>
            <w:pPr>
              <w:spacing w:after="0"/>
            </w:pPr>
            <w:r>
              <w:rPr>
                <w:rFonts w:ascii="Calibri" w:hAnsi="Calibri"/>
                <w:sz w:val="22"/>
              </w:rPr>
              <w:t>¿Cuántos filtros de aceite Toyota quedan?</w:t>
            </w:r>
          </w:p>
        </w:tc>
        <w:tc>
          <w:tcPr>
            <w:tcW w:type="dxa" w:w="3310"/>
            <w:tcMar>
              <w:top w:w="80" w:type="dxa"/>
              <w:bottom w:w="80" w:type="dxa"/>
              <w:start w:w="120" w:type="dxa"/>
              <w:end w:w="120" w:type="dxa"/>
            </w:tcMar>
            <w:vAlign w:val="center"/>
          </w:tcPr>
          <w:p>
            <w:pPr>
              <w:spacing w:after="0"/>
            </w:pPr>
            <w:r>
              <w:rPr>
                <w:rFonts w:ascii="Calibri" w:hAnsi="Calibri"/>
                <w:sz w:val="22"/>
              </w:rPr>
              <w:t>Usa recuperar_contexto y consultar_inventario.</w:t>
            </w:r>
          </w:p>
        </w:tc>
      </w:tr>
      <w:tr>
        <w:tc>
          <w:tcPr>
            <w:tcW w:type="dxa" w:w="2100"/>
            <w:tcMar>
              <w:top w:w="80" w:type="dxa"/>
              <w:bottom w:w="80" w:type="dxa"/>
              <w:start w:w="120" w:type="dxa"/>
              <w:end w:w="120" w:type="dxa"/>
            </w:tcMar>
            <w:vAlign w:val="center"/>
          </w:tcPr>
          <w:p>
            <w:pPr>
              <w:spacing w:after="0"/>
            </w:pPr>
            <w:r>
              <w:rPr>
                <w:rFonts w:ascii="Calibri" w:hAnsi="Calibri"/>
                <w:sz w:val="22"/>
              </w:rPr>
              <w:t>Salida valida</w:t>
            </w:r>
          </w:p>
        </w:tc>
        <w:tc>
          <w:tcPr>
            <w:tcW w:type="dxa" w:w="3950"/>
            <w:tcMar>
              <w:top w:w="80" w:type="dxa"/>
              <w:bottom w:w="80" w:type="dxa"/>
              <w:start w:w="120" w:type="dxa"/>
              <w:end w:w="120" w:type="dxa"/>
            </w:tcMar>
            <w:vAlign w:val="center"/>
          </w:tcPr>
          <w:p>
            <w:pPr>
              <w:spacing w:after="0"/>
            </w:pPr>
            <w:r>
              <w:rPr>
                <w:rFonts w:ascii="Calibri" w:hAnsi="Calibri"/>
                <w:sz w:val="22"/>
              </w:rPr>
              <w:t>Salida de 2 unidades FO-TOY-001 para OT-778</w:t>
            </w:r>
          </w:p>
        </w:tc>
        <w:tc>
          <w:tcPr>
            <w:tcW w:type="dxa" w:w="3310"/>
            <w:tcMar>
              <w:top w:w="80" w:type="dxa"/>
              <w:bottom w:w="80" w:type="dxa"/>
              <w:start w:w="120" w:type="dxa"/>
              <w:end w:w="120" w:type="dxa"/>
            </w:tcMar>
            <w:vAlign w:val="center"/>
          </w:tcPr>
          <w:p>
            <w:pPr>
              <w:spacing w:after="0"/>
            </w:pPr>
            <w:r>
              <w:rPr>
                <w:rFonts w:ascii="Calibri" w:hAnsi="Calibri"/>
                <w:sz w:val="22"/>
              </w:rPr>
              <w:t>Stock baja de 8 a 6 y se guarda memoria.</w:t>
            </w:r>
          </w:p>
        </w:tc>
      </w:tr>
      <w:tr>
        <w:tc>
          <w:tcPr>
            <w:tcW w:type="dxa" w:w="2100"/>
            <w:tcMar>
              <w:top w:w="80" w:type="dxa"/>
              <w:bottom w:w="80" w:type="dxa"/>
              <w:start w:w="120" w:type="dxa"/>
              <w:end w:w="120" w:type="dxa"/>
            </w:tcMar>
            <w:vAlign w:val="center"/>
          </w:tcPr>
          <w:p>
            <w:pPr>
              <w:spacing w:after="0"/>
            </w:pPr>
            <w:r>
              <w:rPr>
                <w:rFonts w:ascii="Calibri" w:hAnsi="Calibri"/>
                <w:sz w:val="22"/>
              </w:rPr>
              <w:t>Salida sin trazabilidad</w:t>
            </w:r>
          </w:p>
        </w:tc>
        <w:tc>
          <w:tcPr>
            <w:tcW w:type="dxa" w:w="3950"/>
            <w:tcMar>
              <w:top w:w="80" w:type="dxa"/>
              <w:bottom w:w="80" w:type="dxa"/>
              <w:start w:w="120" w:type="dxa"/>
              <w:end w:w="120" w:type="dxa"/>
            </w:tcMar>
            <w:vAlign w:val="center"/>
          </w:tcPr>
          <w:p>
            <w:pPr>
              <w:spacing w:after="0"/>
            </w:pPr>
            <w:r>
              <w:rPr>
                <w:rFonts w:ascii="Calibri" w:hAnsi="Calibri"/>
                <w:sz w:val="22"/>
              </w:rPr>
              <w:t>Registra salida de 2 unidades FO-TOY-001</w:t>
            </w:r>
          </w:p>
        </w:tc>
        <w:tc>
          <w:tcPr>
            <w:tcW w:type="dxa" w:w="3310"/>
            <w:tcMar>
              <w:top w:w="80" w:type="dxa"/>
              <w:bottom w:w="80" w:type="dxa"/>
              <w:start w:w="120" w:type="dxa"/>
              <w:end w:w="120" w:type="dxa"/>
            </w:tcMar>
            <w:vAlign w:val="center"/>
          </w:tcPr>
          <w:p>
            <w:pPr>
              <w:spacing w:after="0"/>
            </w:pPr>
            <w:r>
              <w:rPr>
                <w:rFonts w:ascii="Calibri" w:hAnsi="Calibri"/>
                <w:sz w:val="22"/>
              </w:rPr>
              <w:t>Bloquea escritura por falta de OT/mecánico/vehículo.</w:t>
            </w:r>
          </w:p>
        </w:tc>
      </w:tr>
      <w:tr>
        <w:tc>
          <w:tcPr>
            <w:tcW w:type="dxa" w:w="2100"/>
            <w:tcMar>
              <w:top w:w="80" w:type="dxa"/>
              <w:bottom w:w="80" w:type="dxa"/>
              <w:start w:w="120" w:type="dxa"/>
              <w:end w:w="120" w:type="dxa"/>
            </w:tcMar>
            <w:vAlign w:val="center"/>
          </w:tcPr>
          <w:p>
            <w:pPr>
              <w:spacing w:after="0"/>
            </w:pPr>
            <w:r>
              <w:rPr>
                <w:rFonts w:ascii="Calibri" w:hAnsi="Calibri"/>
                <w:sz w:val="22"/>
              </w:rPr>
              <w:t>Alertas</w:t>
            </w:r>
          </w:p>
        </w:tc>
        <w:tc>
          <w:tcPr>
            <w:tcW w:type="dxa" w:w="3950"/>
            <w:tcMar>
              <w:top w:w="80" w:type="dxa"/>
              <w:bottom w:w="80" w:type="dxa"/>
              <w:start w:w="120" w:type="dxa"/>
              <w:end w:w="120" w:type="dxa"/>
            </w:tcMar>
            <w:vAlign w:val="center"/>
          </w:tcPr>
          <w:p>
            <w:pPr>
              <w:spacing w:after="0"/>
            </w:pPr>
            <w:r>
              <w:rPr>
                <w:rFonts w:ascii="Calibri" w:hAnsi="Calibri"/>
                <w:sz w:val="22"/>
              </w:rPr>
              <w:t>¿Qué ítems están críticos?</w:t>
            </w:r>
          </w:p>
        </w:tc>
        <w:tc>
          <w:tcPr>
            <w:tcW w:type="dxa" w:w="3310"/>
            <w:tcMar>
              <w:top w:w="80" w:type="dxa"/>
              <w:bottom w:w="80" w:type="dxa"/>
              <w:start w:w="120" w:type="dxa"/>
              <w:end w:w="120" w:type="dxa"/>
            </w:tcMar>
            <w:vAlign w:val="center"/>
          </w:tcPr>
          <w:p>
            <w:pPr>
              <w:spacing w:after="0"/>
            </w:pPr>
            <w:r>
              <w:rPr>
                <w:rFonts w:ascii="Calibri" w:hAnsi="Calibri"/>
                <w:sz w:val="22"/>
              </w:rPr>
              <w:t>Entrega ítems CRÍTICO/BAJO y proveedor sugerido.</w:t>
            </w:r>
          </w:p>
        </w:tc>
      </w:tr>
    </w:tbl>
    <w:p/>
    <w:p>
      <w:pPr>
        <w:pStyle w:val="Heading2"/>
      </w:pPr>
      <w:r>
        <w:t>Instrucciones de ejecución</w:t>
      </w:r>
    </w:p>
    <w:p>
      <w:pPr>
        <w:pStyle w:val="ListBullet"/>
      </w:pPr>
      <w:r>
        <w:rPr>
          <w:rFonts w:ascii="Calibri" w:hAnsi="Calibri"/>
          <w:sz w:val="22"/>
        </w:rPr>
        <w:t>Abrir rsm-agente-ep2.code-workspace en Visual Studio Code.</w:t>
      </w:r>
    </w:p>
    <w:p>
      <w:pPr>
        <w:pStyle w:val="ListBullet"/>
      </w:pPr>
      <w:r>
        <w:rPr>
          <w:rFonts w:ascii="Calibri" w:hAnsi="Calibri"/>
          <w:sz w:val="22"/>
        </w:rPr>
        <w:t>Ejecutar las tareas: Instalar dependencias, Inicializar base de datos y Ejecutar API.</w:t>
      </w:r>
    </w:p>
    <w:p>
      <w:pPr>
        <w:pStyle w:val="ListBullet"/>
      </w:pPr>
      <w:r>
        <w:rPr>
          <w:rFonts w:ascii="Calibri" w:hAnsi="Calibri"/>
          <w:sz w:val="22"/>
        </w:rPr>
        <w:t>Probar la interfaz en http://127.0.0.1:8000 y la documentación en /docs.</w:t>
      </w:r>
    </w:p>
    <w:p>
      <w:r>
        <w:br w:type="page"/>
      </w:r>
    </w:p>
    <w:p>
      <w:pPr>
        <w:pStyle w:val="Heading1"/>
      </w:pPr>
      <w:r>
        <w:t>5. Cierre y referencias</w:t>
      </w:r>
    </w:p>
    <w:p>
      <w:r>
        <w:rPr>
          <w:rFonts w:ascii="Calibri" w:hAnsi="Calibri"/>
          <w:sz w:val="22"/>
        </w:rPr>
        <w:t>La versión EP2 cumple el paso clave que faltaba en el diseño inicial: existe un agente ejecutable, verificable y con persistencia real. El sistema no simula solo una respuesta de IA; aplica reglas, consulta datos, escribe movimientos y conserva memoria. La solución puede crecer incorporando un LLM local por Ollama, ChromaDB o un frontend React, pero el MVP actual ya permite validar autonomía funcional y continuidad de tarea.</w:t>
      </w:r>
    </w:p>
    <w:tbl>
      <w:tblPr>
        <w:tblStyle w:val="TableGrid"/>
        <w:tblW w:type="dxa" w:w="9360"/>
        <w:jc w:val="left"/>
        <w:tblLook w:firstColumn="1" w:firstRow="1" w:lastColumn="0" w:lastRow="0" w:noHBand="0" w:noVBand="1" w:val="04A0"/>
        <w:tblInd w:w="120" w:type="dxa"/>
      </w:tblPr>
      <w:tblGrid>
        <w:gridCol w:w="1800"/>
        <w:gridCol w:w="7560"/>
      </w:tblGrid>
      <w:tr>
        <w:tc>
          <w:tcPr>
            <w:tcW w:type="dxa" w:w="1800"/>
            <w:shd w:fill="F2F4F7"/>
            <w:tcMar>
              <w:top w:w="80" w:type="dxa"/>
              <w:bottom w:w="80" w:type="dxa"/>
              <w:start w:w="120" w:type="dxa"/>
              <w:end w:w="120" w:type="dxa"/>
            </w:tcMar>
            <w:vAlign w:val="center"/>
          </w:tcPr>
          <w:p>
            <w:pPr>
              <w:spacing w:after="0"/>
            </w:pPr>
            <w:r>
              <w:rPr>
                <w:rFonts w:ascii="Calibri" w:hAnsi="Calibri"/>
                <w:b/>
                <w:color w:val="17202A"/>
                <w:sz w:val="22"/>
              </w:rPr>
              <w:t>Indicador</w:t>
            </w:r>
          </w:p>
        </w:tc>
        <w:tc>
          <w:tcPr>
            <w:tcW w:type="dxa" w:w="7560"/>
            <w:shd w:fill="F2F4F7"/>
            <w:tcMar>
              <w:top w:w="80" w:type="dxa"/>
              <w:bottom w:w="80" w:type="dxa"/>
              <w:start w:w="120" w:type="dxa"/>
              <w:end w:w="120" w:type="dxa"/>
            </w:tcMar>
            <w:vAlign w:val="center"/>
          </w:tcPr>
          <w:p>
            <w:pPr>
              <w:spacing w:after="0"/>
            </w:pPr>
            <w:r>
              <w:rPr>
                <w:rFonts w:ascii="Calibri" w:hAnsi="Calibri"/>
                <w:b/>
                <w:color w:val="17202A"/>
                <w:sz w:val="22"/>
              </w:rPr>
              <w:t>Cumplimiento</w:t>
            </w:r>
          </w:p>
        </w:tc>
      </w:tr>
      <w:tr>
        <w:tc>
          <w:tcPr>
            <w:tcW w:type="dxa" w:w="1800"/>
            <w:tcMar>
              <w:top w:w="80" w:type="dxa"/>
              <w:bottom w:w="80" w:type="dxa"/>
              <w:start w:w="120" w:type="dxa"/>
              <w:end w:w="120" w:type="dxa"/>
            </w:tcMar>
            <w:vAlign w:val="center"/>
          </w:tcPr>
          <w:p>
            <w:pPr>
              <w:spacing w:after="0"/>
            </w:pPr>
            <w:r>
              <w:rPr>
                <w:rFonts w:ascii="Calibri" w:hAnsi="Calibri"/>
                <w:sz w:val="22"/>
              </w:rPr>
              <w:t>IE1-IE2</w:t>
            </w:r>
          </w:p>
        </w:tc>
        <w:tc>
          <w:tcPr>
            <w:tcW w:type="dxa" w:w="7560"/>
            <w:tcMar>
              <w:top w:w="80" w:type="dxa"/>
              <w:bottom w:w="80" w:type="dxa"/>
              <w:start w:w="120" w:type="dxa"/>
              <w:end w:w="120" w:type="dxa"/>
            </w:tcMar>
            <w:vAlign w:val="center"/>
          </w:tcPr>
          <w:p>
            <w:pPr>
              <w:spacing w:after="0"/>
            </w:pPr>
            <w:r>
              <w:rPr>
                <w:rFonts w:ascii="Calibri" w:hAnsi="Calibri"/>
                <w:sz w:val="22"/>
              </w:rPr>
              <w:t>Herramientas autónomas implementadas con LangChain Core.</w:t>
            </w:r>
          </w:p>
        </w:tc>
      </w:tr>
      <w:tr>
        <w:tc>
          <w:tcPr>
            <w:tcW w:type="dxa" w:w="1800"/>
            <w:tcMar>
              <w:top w:w="80" w:type="dxa"/>
              <w:bottom w:w="80" w:type="dxa"/>
              <w:start w:w="120" w:type="dxa"/>
              <w:end w:w="120" w:type="dxa"/>
            </w:tcMar>
            <w:vAlign w:val="center"/>
          </w:tcPr>
          <w:p>
            <w:pPr>
              <w:spacing w:after="0"/>
            </w:pPr>
            <w:r>
              <w:rPr>
                <w:rFonts w:ascii="Calibri" w:hAnsi="Calibri"/>
                <w:sz w:val="22"/>
              </w:rPr>
              <w:t>IE3-IE4</w:t>
            </w:r>
          </w:p>
        </w:tc>
        <w:tc>
          <w:tcPr>
            <w:tcW w:type="dxa" w:w="7560"/>
            <w:tcMar>
              <w:top w:w="80" w:type="dxa"/>
              <w:bottom w:w="80" w:type="dxa"/>
              <w:start w:w="120" w:type="dxa"/>
              <w:end w:w="120" w:type="dxa"/>
            </w:tcMar>
            <w:vAlign w:val="center"/>
          </w:tcPr>
          <w:p>
            <w:pPr>
              <w:spacing w:after="0"/>
            </w:pPr>
            <w:r>
              <w:rPr>
                <w:rFonts w:ascii="Calibri" w:hAnsi="Calibri"/>
                <w:sz w:val="22"/>
              </w:rPr>
              <w:t>Memoria persistente y recuperación de contexto local.</w:t>
            </w:r>
          </w:p>
        </w:tc>
      </w:tr>
      <w:tr>
        <w:tc>
          <w:tcPr>
            <w:tcW w:type="dxa" w:w="1800"/>
            <w:tcMar>
              <w:top w:w="80" w:type="dxa"/>
              <w:bottom w:w="80" w:type="dxa"/>
              <w:start w:w="120" w:type="dxa"/>
              <w:end w:w="120" w:type="dxa"/>
            </w:tcMar>
            <w:vAlign w:val="center"/>
          </w:tcPr>
          <w:p>
            <w:pPr>
              <w:spacing w:after="0"/>
            </w:pPr>
            <w:r>
              <w:rPr>
                <w:rFonts w:ascii="Calibri" w:hAnsi="Calibri"/>
                <w:sz w:val="22"/>
              </w:rPr>
              <w:t>IE5-IE6</w:t>
            </w:r>
          </w:p>
        </w:tc>
        <w:tc>
          <w:tcPr>
            <w:tcW w:type="dxa" w:w="7560"/>
            <w:tcMar>
              <w:top w:w="80" w:type="dxa"/>
              <w:bottom w:w="80" w:type="dxa"/>
              <w:start w:w="120" w:type="dxa"/>
              <w:end w:w="120" w:type="dxa"/>
            </w:tcMar>
            <w:vAlign w:val="center"/>
          </w:tcPr>
          <w:p>
            <w:pPr>
              <w:spacing w:after="0"/>
            </w:pPr>
            <w:r>
              <w:rPr>
                <w:rFonts w:ascii="Calibri" w:hAnsi="Calibri"/>
                <w:sz w:val="22"/>
              </w:rPr>
              <w:t>Planificación por intención y decisiones ante condiciones cambiantes.</w:t>
            </w:r>
          </w:p>
        </w:tc>
      </w:tr>
      <w:tr>
        <w:tc>
          <w:tcPr>
            <w:tcW w:type="dxa" w:w="1800"/>
            <w:tcMar>
              <w:top w:w="80" w:type="dxa"/>
              <w:bottom w:w="80" w:type="dxa"/>
              <w:start w:w="120" w:type="dxa"/>
              <w:end w:w="120" w:type="dxa"/>
            </w:tcMar>
            <w:vAlign w:val="center"/>
          </w:tcPr>
          <w:p>
            <w:pPr>
              <w:spacing w:after="0"/>
            </w:pPr>
            <w:r>
              <w:rPr>
                <w:rFonts w:ascii="Calibri" w:hAnsi="Calibri"/>
                <w:sz w:val="22"/>
              </w:rPr>
              <w:t>IE7-IE10</w:t>
            </w:r>
          </w:p>
        </w:tc>
        <w:tc>
          <w:tcPr>
            <w:tcW w:type="dxa" w:w="7560"/>
            <w:tcMar>
              <w:top w:w="80" w:type="dxa"/>
              <w:bottom w:w="80" w:type="dxa"/>
              <w:start w:w="120" w:type="dxa"/>
              <w:end w:w="120" w:type="dxa"/>
            </w:tcMar>
            <w:vAlign w:val="center"/>
          </w:tcPr>
          <w:p>
            <w:pPr>
              <w:spacing w:after="0"/>
            </w:pPr>
            <w:r>
              <w:rPr>
                <w:rFonts w:ascii="Calibri" w:hAnsi="Calibri"/>
                <w:sz w:val="22"/>
              </w:rPr>
              <w:t>README, diagrama, pruebas, informe técnico y referencias.</w:t>
            </w:r>
          </w:p>
        </w:tc>
      </w:tr>
    </w:tbl>
    <w:p/>
    <w:p>
      <w:pPr>
        <w:pStyle w:val="Heading2"/>
      </w:pPr>
      <w:r>
        <w:t>Referencias</w:t>
      </w:r>
    </w:p>
    <w:p>
      <w:r>
        <w:rPr>
          <w:rFonts w:ascii="Calibri" w:hAnsi="Calibri"/>
          <w:sz w:val="22"/>
        </w:rPr>
        <w:t>FastAPI. (2024). FastAPI documentation. https://fastapi.tiangolo.com/</w:t>
      </w:r>
    </w:p>
    <w:p>
      <w:r>
        <w:rPr>
          <w:rFonts w:ascii="Calibri" w:hAnsi="Calibri"/>
          <w:sz w:val="22"/>
        </w:rPr>
        <w:t>LangChain. (2024). LangChain documentation. https://python.langchain.com/docs/</w:t>
      </w:r>
    </w:p>
    <w:p>
      <w:r>
        <w:rPr>
          <w:rFonts w:ascii="Calibri" w:hAnsi="Calibri"/>
          <w:sz w:val="22"/>
        </w:rPr>
        <w:t>Python Software Foundation. (2024). Python documentation. https://docs.python.org/</w:t>
      </w:r>
    </w:p>
    <w:p>
      <w:r>
        <w:rPr>
          <w:rFonts w:ascii="Calibri" w:hAnsi="Calibri"/>
          <w:sz w:val="22"/>
        </w:rPr>
        <w:t>SQLite. (2024). SQLite documentation. https://sqlite.org/docs.html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978"/>
        <w:sz w:val="18"/>
      </w:rPr>
      <w:t>RSM EP2 | Informe técnico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