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Branding &amp; Messaging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AI Voice Receptionist for Law Firms - Naming, Slogans &amp; Pitch</w:t>
      </w: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Name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IntakeLine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CounselLine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EveryCall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ClientCatch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DocketLine</w:t>
      </w:r>
    </w:p>
    <w:p>
      <w:pPr>
        <w:pStyle w:val="Heading1"/>
      </w:pPr>
      <w:r>
        <w:t xml:space="preserve">Slogan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miss another intake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firm's voice, working 24/7.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call answered. Every lead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cases. Less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answering service that never sleeps - and costs 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to answer, first to win the case.</w:t>
      </w:r>
    </w:p>
    <w:p>
      <w:pPr>
        <w:pStyle w:val="Heading1"/>
      </w:pPr>
      <w:r>
        <w:t xml:space="preserve">One-Line Pitch</w:t>
      </w:r>
    </w:p>
    <w:p>
      <w:pPr>
        <w:spacing w:after="120"/>
      </w:pPr>
      <w:r>
        <w:t xml:space="preserve">We replace your $300/mo answering service with an AI receptionist that answers every call, screens by case type, flags urgent matters instantly, and sends your team a ready-to-use summary - for less than you're paying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2026-06-15T05:19:09.895Z</dcterms:created>
  <dcterms:modified xsi:type="dcterms:W3CDTF">2026-06-15T05:19:09.895Z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