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1F3864"/>
          <w:sz w:val="40"/>
        </w:rPr>
        <w:t>DELIVERABLES — ARCA v2.0</w:t>
      </w:r>
    </w:p>
    <w:p>
      <w:pPr>
        <w:spacing w:after="160" w:before="0"/>
      </w:pPr>
      <w:r>
        <w:rPr>
          <w:b w:val="0"/>
          <w:i w:val="0"/>
          <w:color w:val="2E5496"/>
          <w:sz w:val="22"/>
        </w:rPr>
        <w:t>Agent de Référentiel et de Construction · Version intégrée · 22 octobre 2026</w:t>
      </w:r>
    </w:p>
    <w:p>
      <w:pPr>
        <w:spacing w:after="80" w:before="0"/>
      </w:pPr>
      <w:r>
        <w:rPr>
          <w:b/>
          <w:i w:val="0"/>
          <w:color w:val="1F3864"/>
          <w:sz w:val="24"/>
        </w:rPr>
        <w:t>VÔTEL 1/2 — Mandat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 w:val="true"/>
        </w:trPr>
        <w:tc>
          <w:tcPr>
            <w:tcW w:type="dxa" w:w="1701"/>
            <w:shd w:val="clear" w:color="auto" w:fill="1F3864"/>
            <w:tcMar>
              <w:top w:w="20" w:type="dxa"/>
              <w:bottom w:w="2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Champ</w:t>
            </w:r>
          </w:p>
        </w:tc>
        <w:tc>
          <w:tcPr>
            <w:tcW w:type="dxa" w:w="10488"/>
            <w:shd w:val="clear" w:color="auto" w:fill="1F3864"/>
            <w:tcMar>
              <w:top w:w="20" w:type="dxa"/>
              <w:bottom w:w="2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Contenu</w:t>
            </w:r>
          </w:p>
        </w:tc>
      </w:tr>
      <w:tr>
        <w:tc>
          <w:tcPr>
            <w:tcW w:type="dxa" w:w="1701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Périmètre normatif</w:t>
            </w:r>
          </w:p>
        </w:tc>
        <w:tc>
          <w:tcPr>
            <w:tcW w:type="dxa" w:w="10488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ISO 9001 · 14001 · 45001 · 55001 · 50001 · 22301 · 37001 · 37301 · OACI Annexes 14/19, Doc 9859 · ACA niveaux 1 à 5</w:t>
            </w:r>
          </w:p>
        </w:tc>
      </w:tr>
      <w:tr>
        <w:tc>
          <w:tcPr>
            <w:tcW w:type="dxa" w:w="1701"/>
            <w:tcMar>
              <w:top w:w="30" w:type="dxa"/>
              <w:bottom w:w="3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7"/>
              </w:rPr>
              <w:t>Rôle</w:t>
            </w:r>
          </w:p>
        </w:tc>
        <w:tc>
          <w:tcPr>
            <w:tcW w:type="dxa" w:w="10488"/>
            <w:tcMar>
              <w:top w:w="30" w:type="dxa"/>
              <w:bottom w:w="3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7"/>
              </w:rPr>
              <w:t>Architecte documentaire et ingénieur de la preuve d'un SM intégré · trois casquettes : expert normatif, ingénieur documentaire, intégrateur de compétences (clause 7.2)</w:t>
            </w:r>
          </w:p>
        </w:tc>
      </w:tr>
      <w:tr>
        <w:tc>
          <w:tcPr>
            <w:tcW w:type="dxa" w:w="1701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Mission</w:t>
            </w:r>
          </w:p>
        </w:tc>
        <w:tc>
          <w:tcPr>
            <w:tcW w:type="dxa" w:w="10488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Transformer toute exigence — normative, réglementaire aéronautique, sectorielle, interne — en un corpus unique et auditable, puis en dispositif de compétence et de preuve tenant devant un organisme certificateur, une autorité de l'aviation civile et un vérificateur carbone</w:t>
            </w:r>
          </w:p>
        </w:tc>
      </w:tr>
      <w:tr>
        <w:tc>
          <w:tcPr>
            <w:tcW w:type="dxa" w:w="1701"/>
            <w:tcMar>
              <w:top w:w="30" w:type="dxa"/>
              <w:bottom w:w="3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7"/>
              </w:rPr>
              <w:t>Objectif (6 à 9 mois)</w:t>
            </w:r>
          </w:p>
        </w:tc>
        <w:tc>
          <w:tcPr>
            <w:tcW w:type="dxa" w:w="10488"/>
            <w:tcMar>
              <w:top w:w="30" w:type="dxa"/>
              <w:bottom w:w="3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7"/>
              </w:rPr>
              <w:t>60–90 documents à 100 % · matrice exigence → document → preuve sans exigence orpheline · 99 compétences + 26 modules · dossier ACA déposé · zéro écart critique en audit à blanc, zéro réserve en vérification carbone · complétude ≥ 95 %</w:t>
            </w:r>
          </w:p>
        </w:tc>
      </w:tr>
      <w:tr>
        <w:tc>
          <w:tcPr>
            <w:tcW w:type="dxa" w:w="1701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Contexte à cadrer</w:t>
            </w:r>
          </w:p>
        </w:tc>
        <w:tc>
          <w:tcPr>
            <w:tcW w:type="dxa" w:w="10488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Statut de l'aérodrome et catégorie RFFS · référentiels réellement visés · périmètre (siège, plateforme, filiales, tiers) · éditions et échéances · maturité · outils (GED, GRC, CMMS, EMS, ECCAIRS, outil carbone, LMS) · sponsor exécutif · contraintes de confidentialité et données personnelles</w:t>
            </w:r>
          </w:p>
        </w:tc>
      </w:tr>
    </w:tbl>
    <w:p>
      <w:pPr>
        <w:spacing w:after="80" w:before="0"/>
      </w:pPr>
      <w:r>
        <w:rPr>
          <w:b/>
          <w:i w:val="0"/>
          <w:color w:val="1F3864"/>
          <w:sz w:val="24"/>
        </w:rPr>
        <w:t>Guide de production — 7 étapes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</w:trPr>
        <w:tc>
          <w:tcPr>
            <w:tcW w:type="dxa" w:w="1474"/>
            <w:shd w:val="clear" w:color="auto" w:fill="1F3864"/>
            <w:tcMar>
              <w:top w:w="20" w:type="dxa"/>
              <w:bottom w:w="2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Étape</w:t>
            </w:r>
          </w:p>
        </w:tc>
        <w:tc>
          <w:tcPr>
            <w:tcW w:type="dxa" w:w="5102"/>
            <w:shd w:val="clear" w:color="auto" w:fill="1F3864"/>
            <w:tcMar>
              <w:top w:w="20" w:type="dxa"/>
              <w:bottom w:w="2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Contenu</w:t>
            </w:r>
          </w:p>
        </w:tc>
        <w:tc>
          <w:tcPr>
            <w:tcW w:type="dxa" w:w="5613"/>
            <w:shd w:val="clear" w:color="auto" w:fill="1F3864"/>
            <w:tcMar>
              <w:top w:w="20" w:type="dxa"/>
              <w:bottom w:w="2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Livrable de sortie</w:t>
            </w:r>
          </w:p>
        </w:tc>
      </w:tr>
      <w:tr>
        <w:tc>
          <w:tcPr>
            <w:tcW w:type="dxa" w:w="1474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1. Cadrage</w:t>
            </w:r>
          </w:p>
        </w:tc>
        <w:tc>
          <w:tcPr>
            <w:tcW w:type="dxa" w:w="5102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Périmètre, éditions, statut de l'aérodrome, maturité, outils, sponsor, contraintes</w:t>
            </w:r>
          </w:p>
        </w:tc>
        <w:tc>
          <w:tcPr>
            <w:tcW w:type="dxa" w:w="5613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Note de cadrage validée (2–3 pages)</w:t>
            </w:r>
          </w:p>
        </w:tc>
      </w:tr>
      <w:tr>
        <w:tc>
          <w:tcPr>
            <w:tcW w:type="dxa" w:w="1474"/>
            <w:tcMar>
              <w:top w:w="30" w:type="dxa"/>
              <w:bottom w:w="3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7"/>
              </w:rPr>
              <w:t>2. Architecture</w:t>
            </w:r>
          </w:p>
        </w:tc>
        <w:tc>
          <w:tcPr>
            <w:tcW w:type="dxa" w:w="5102"/>
            <w:tcMar>
              <w:top w:w="30" w:type="dxa"/>
              <w:bottom w:w="3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7"/>
              </w:rPr>
              <w:t>Table de correspondance HLS, découpage documentaire, propriétaires, cycle de vie</w:t>
            </w:r>
          </w:p>
        </w:tc>
        <w:tc>
          <w:tcPr>
            <w:tcW w:type="dxa" w:w="5613"/>
            <w:tcMar>
              <w:top w:w="30" w:type="dxa"/>
              <w:bottom w:w="3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7"/>
              </w:rPr>
              <w:t>Architecture documentaire + liste nominique</w:t>
            </w:r>
          </w:p>
        </w:tc>
      </w:tr>
      <w:tr>
        <w:tc>
          <w:tcPr>
            <w:tcW w:type="dxa" w:w="1474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3. Analyse d'écarts</w:t>
            </w:r>
          </w:p>
        </w:tc>
        <w:tc>
          <w:tcPr>
            <w:tcW w:type="dxa" w:w="5102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Exigence par exigence, preuve existante, écart, criticité, action</w:t>
            </w:r>
          </w:p>
        </w:tc>
        <w:tc>
          <w:tcPr>
            <w:tcW w:type="dxa" w:w="5613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Registre des écarts priorisé</w:t>
            </w:r>
          </w:p>
        </w:tc>
      </w:tr>
      <w:tr>
        <w:tc>
          <w:tcPr>
            <w:tcW w:type="dxa" w:w="1474"/>
            <w:tcMar>
              <w:top w:w="30" w:type="dxa"/>
              <w:bottom w:w="3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7"/>
              </w:rPr>
              <w:t>4. Rédaction</w:t>
            </w:r>
          </w:p>
        </w:tc>
        <w:tc>
          <w:tcPr>
            <w:tcW w:type="dxa" w:w="5102"/>
            <w:tcMar>
              <w:top w:w="30" w:type="dxa"/>
              <w:bottom w:w="3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7"/>
              </w:rPr>
              <w:t>Documents en brouillon, citation de clause et renvoi à la preuve</w:t>
            </w:r>
          </w:p>
        </w:tc>
        <w:tc>
          <w:tcPr>
            <w:tcW w:type="dxa" w:w="5613"/>
            <w:tcMar>
              <w:top w:w="30" w:type="dxa"/>
              <w:bottom w:w="3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7"/>
              </w:rPr>
              <w:t>Corpus brouillon versionné</w:t>
            </w:r>
          </w:p>
        </w:tc>
      </w:tr>
      <w:tr>
        <w:tc>
          <w:tcPr>
            <w:tcW w:type="dxa" w:w="1474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5. Compétences</w:t>
            </w:r>
          </w:p>
        </w:tc>
        <w:tc>
          <w:tcPr>
            <w:tcW w:type="dxa" w:w="5102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Traduction des exigences en compétences, niveaux cibles, plan de formation</w:t>
            </w:r>
          </w:p>
        </w:tc>
        <w:tc>
          <w:tcPr>
            <w:tcW w:type="dxa" w:w="5613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Matrice 99 lignes + plan 26 modules</w:t>
            </w:r>
          </w:p>
        </w:tc>
      </w:tr>
      <w:tr>
        <w:tc>
          <w:tcPr>
            <w:tcW w:type="dxa" w:w="1474"/>
            <w:tcMar>
              <w:top w:w="30" w:type="dxa"/>
              <w:bottom w:w="3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7"/>
              </w:rPr>
              <w:t>6. Mise en preuve</w:t>
            </w:r>
          </w:p>
        </w:tc>
        <w:tc>
          <w:tcPr>
            <w:tcW w:type="dxa" w:w="5102"/>
            <w:tcMar>
              <w:top w:w="30" w:type="dxa"/>
              <w:bottom w:w="3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7"/>
              </w:rPr>
              <w:t>Registres, enregistrements, dossier d'audit, dossier ACA</w:t>
            </w:r>
          </w:p>
        </w:tc>
        <w:tc>
          <w:tcPr>
            <w:tcW w:type="dxa" w:w="5613"/>
            <w:tcMar>
              <w:top w:w="30" w:type="dxa"/>
              <w:bottom w:w="3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7"/>
              </w:rPr>
              <w:t>Dossier de preuves indexé</w:t>
            </w:r>
          </w:p>
        </w:tc>
      </w:tr>
      <w:tr>
        <w:tc>
          <w:tcPr>
            <w:tcW w:type="dxa" w:w="1474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7. Test</w:t>
            </w:r>
          </w:p>
        </w:tc>
        <w:tc>
          <w:tcPr>
            <w:tcW w:type="dxa" w:w="5102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Audit à blanc, simulation de vérification carbone, revue de direction</w:t>
            </w:r>
          </w:p>
        </w:tc>
        <w:tc>
          <w:tcPr>
            <w:tcW w:type="dxa" w:w="5613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Rapport d'audit à blanc + plan d'action</w:t>
            </w:r>
          </w:p>
        </w:tc>
      </w:tr>
    </w:tbl>
    <w:p>
      <w:pPr>
        <w:spacing w:after="80" w:before="0"/>
      </w:pPr>
      <w:r>
        <w:rPr>
          <w:b/>
          <w:i w:val="0"/>
          <w:color w:val="1F3864"/>
          <w:sz w:val="24"/>
        </w:rPr>
        <w:t>Grille de lecture / checklist de succès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</w:trPr>
        <w:tc>
          <w:tcPr>
            <w:tcW w:type="dxa" w:w="4819"/>
            <w:shd w:val="clear" w:color="auto" w:fill="1F3864"/>
            <w:tcMar>
              <w:top w:w="20" w:type="dxa"/>
              <w:bottom w:w="2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Indicateur</w:t>
            </w:r>
          </w:p>
        </w:tc>
        <w:tc>
          <w:tcPr>
            <w:tcW w:type="dxa" w:w="3402"/>
            <w:shd w:val="clear" w:color="auto" w:fill="1F3864"/>
            <w:tcMar>
              <w:top w:w="20" w:type="dxa"/>
              <w:bottom w:w="2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Cible</w:t>
            </w:r>
          </w:p>
        </w:tc>
        <w:tc>
          <w:tcPr>
            <w:tcW w:type="dxa" w:w="3969"/>
            <w:shd w:val="clear" w:color="auto" w:fill="1F3864"/>
            <w:tcMar>
              <w:top w:w="20" w:type="dxa"/>
              <w:bottom w:w="2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Statut à remplir</w:t>
            </w:r>
          </w:p>
        </w:tc>
      </w:tr>
      <w:tr>
        <w:tc>
          <w:tcPr>
            <w:tcW w:type="dxa" w:w="4819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Couverture des informations documentées exigées (11 référentiels)</w:t>
            </w:r>
          </w:p>
        </w:tc>
        <w:tc>
          <w:tcPr>
            <w:tcW w:type="dxa" w:w="3402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100 %, zéro exigence orpheline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4819"/>
            <w:tcMar>
              <w:top w:w="30" w:type="dxa"/>
              <w:bottom w:w="3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7"/>
              </w:rPr>
              <w:t>Documents validés et diffusés</w:t>
            </w:r>
          </w:p>
        </w:tc>
        <w:tc>
          <w:tcPr>
            <w:tcW w:type="dxa" w:w="3402"/>
            <w:tcMar>
              <w:top w:w="30" w:type="dxa"/>
              <w:bottom w:w="3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7"/>
              </w:rPr>
              <w:t>≥ 95 % du corpus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4819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Matrice exigence → document → preuve à jour</w:t>
            </w:r>
          </w:p>
        </w:tc>
        <w:tc>
          <w:tcPr>
            <w:tcW w:type="dxa" w:w="3402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100 %, revue trimestrielle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4819"/>
            <w:tcMar>
              <w:top w:w="30" w:type="dxa"/>
              <w:bottom w:w="3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7"/>
              </w:rPr>
              <w:t>Dispositif clause 7.2 opérationnel</w:t>
            </w:r>
          </w:p>
        </w:tc>
        <w:tc>
          <w:tcPr>
            <w:tcW w:type="dxa" w:w="3402"/>
            <w:tcMar>
              <w:top w:w="30" w:type="dxa"/>
              <w:bottom w:w="3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7"/>
              </w:rPr>
              <w:t>99 compétences, écarts calculés, 26 modules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4819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Audit à blanc</w:t>
            </w:r>
          </w:p>
        </w:tc>
        <w:tc>
          <w:tcPr>
            <w:tcW w:type="dxa" w:w="3402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Zéro écart critique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4819"/>
            <w:tcMar>
              <w:top w:w="30" w:type="dxa"/>
              <w:bottom w:w="3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7"/>
              </w:rPr>
              <w:t>Vérification carbone</w:t>
            </w:r>
          </w:p>
        </w:tc>
        <w:tc>
          <w:tcPr>
            <w:tcW w:type="dxa" w:w="3402"/>
            <w:tcMar>
              <w:top w:w="30" w:type="dxa"/>
              <w:bottom w:w="3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7"/>
              </w:rPr>
              <w:t>Zéro réserve majeure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4819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Dossier ACA</w:t>
            </w:r>
          </w:p>
        </w:tc>
        <w:tc>
          <w:tcPr>
            <w:tcW w:type="dxa" w:w="3402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Déposé, niveau visé accepté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4819"/>
            <w:tcMar>
              <w:top w:w="30" w:type="dxa"/>
              <w:bottom w:w="3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7"/>
              </w:rPr>
              <w:t>Révision de direction</w:t>
            </w:r>
          </w:p>
        </w:tc>
        <w:tc>
          <w:tcPr>
            <w:tcW w:type="dxa" w:w="3402"/>
            <w:tcMar>
              <w:top w:w="30" w:type="dxa"/>
              <w:bottom w:w="3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7"/>
              </w:rPr>
              <w:t>Tenue avec décisions tracées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</w:tbl>
    <w:p>
      <w:pPr>
        <w:spacing w:after="80" w:before="0"/>
      </w:pPr>
      <w:r>
        <w:rPr>
          <w:b/>
          <w:i w:val="0"/>
          <w:color w:val="1F3864"/>
          <w:sz w:val="24"/>
        </w:rPr>
        <w:t>Dispositif clause 7.2 — 13 domaines de compétence</w:t>
      </w:r>
    </w:p>
    <w:p>
      <w:pPr>
        <w:spacing w:after="80" w:before="0"/>
      </w:pPr>
      <w:r>
        <w:rPr>
          <w:b w:val="0"/>
          <w:i/>
          <w:color w:val="7C8899"/>
          <w:sz w:val="17"/>
        </w:rPr>
        <w:t>Répartition des 99 compétences. Le détail (critère observable, niveau cible, preuve, module) figure dans le classeur Excel associé.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</w:trPr>
        <w:tc>
          <w:tcPr>
            <w:tcW w:type="dxa" w:w="2268"/>
            <w:shd w:val="clear" w:color="auto" w:fill="1F3864"/>
            <w:tcMar>
              <w:top w:w="20" w:type="dxa"/>
              <w:bottom w:w="2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Domaine</w:t>
            </w:r>
          </w:p>
        </w:tc>
        <w:tc>
          <w:tcPr>
            <w:tcW w:type="dxa" w:w="680"/>
            <w:shd w:val="clear" w:color="auto" w:fill="1F3864"/>
            <w:tcMar>
              <w:top w:w="20" w:type="dxa"/>
              <w:bottom w:w="2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Nb</w:t>
            </w:r>
          </w:p>
        </w:tc>
        <w:tc>
          <w:tcPr>
            <w:tcW w:type="dxa" w:w="4139"/>
            <w:shd w:val="clear" w:color="auto" w:fill="1F3864"/>
            <w:tcMar>
              <w:top w:w="20" w:type="dxa"/>
              <w:bottom w:w="2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Produit par l'agent</w:t>
            </w:r>
          </w:p>
        </w:tc>
        <w:tc>
          <w:tcPr>
            <w:tcW w:type="dxa" w:w="4876"/>
            <w:shd w:val="clear" w:color="auto" w:fill="1F3864"/>
            <w:tcMar>
              <w:top w:w="20" w:type="dxa"/>
              <w:bottom w:w="2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Reste humain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A. Socle des systèmes de management</w:t>
            </w:r>
          </w:p>
        </w:tc>
        <w:tc>
          <w:tcPr>
            <w:tcW w:type="dxa" w:w="680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12</w:t>
            </w:r>
          </w:p>
        </w:tc>
        <w:tc>
          <w:tcPr>
            <w:tcW w:type="dxa" w:w="4139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Architecture intégrée, table HLS, programme d'audit, revue de direction, registre des risques</w:t>
            </w:r>
          </w:p>
        </w:tc>
        <w:tc>
          <w:tcPr>
            <w:tcW w:type="dxa" w:w="4876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Décider des priorités et allouer les ressources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7"/>
              </w:rPr>
              <w:t>B. Qualité — ISO 9001</w:t>
            </w:r>
          </w:p>
        </w:tc>
        <w:tc>
          <w:tcPr>
            <w:tcW w:type="dxa" w:w="680"/>
            <w:tcMar>
              <w:top w:w="30" w:type="dxa"/>
              <w:bottom w:w="3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7"/>
              </w:rPr>
              <w:t>4</w:t>
            </w:r>
          </w:p>
        </w:tc>
        <w:tc>
          <w:tcPr>
            <w:tcW w:type="dxa" w:w="4139"/>
            <w:tcMar>
              <w:top w:w="30" w:type="dxa"/>
              <w:bottom w:w="3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7"/>
              </w:rPr>
              <w:t>Cartographie, fiches processus, grilles fournisseurs, trames 8D</w:t>
            </w:r>
          </w:p>
        </w:tc>
        <w:tc>
          <w:tcPr>
            <w:tcW w:type="dxa" w:w="4876"/>
            <w:tcMar>
              <w:top w:w="30" w:type="dxa"/>
              <w:bottom w:w="3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7"/>
              </w:rPr>
              <w:t>Écouter le client, arbitrer un écart de conformité produit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C. Environnement — ISO 14001</w:t>
            </w:r>
          </w:p>
        </w:tc>
        <w:tc>
          <w:tcPr>
            <w:tcW w:type="dxa" w:w="680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5</w:t>
            </w:r>
          </w:p>
        </w:tc>
        <w:tc>
          <w:tcPr>
            <w:tcW w:type="dxa" w:w="4139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Registre aspects/impacts, veille, plan d'urgence, filières déchets</w:t>
            </w:r>
          </w:p>
        </w:tc>
        <w:tc>
          <w:tcPr>
            <w:tcW w:type="dxa" w:w="4876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Engager une dépense environnementale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7"/>
              </w:rPr>
              <w:t>D. Santé-sécurité — ISO 45001</w:t>
            </w:r>
          </w:p>
        </w:tc>
        <w:tc>
          <w:tcPr>
            <w:tcW w:type="dxa" w:w="680"/>
            <w:tcMar>
              <w:top w:w="30" w:type="dxa"/>
              <w:bottom w:w="3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7"/>
              </w:rPr>
              <w:t>5</w:t>
            </w:r>
          </w:p>
        </w:tc>
        <w:tc>
          <w:tcPr>
            <w:tcW w:type="dxa" w:w="4139"/>
            <w:tcMar>
              <w:top w:w="30" w:type="dxa"/>
              <w:bottom w:w="3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7"/>
              </w:rPr>
              <w:t>Trames d'évaluation des risques, plan de prévention, grilles d'enquête</w:t>
            </w:r>
          </w:p>
        </w:tc>
        <w:tc>
          <w:tcPr>
            <w:tcW w:type="dxa" w:w="4876"/>
            <w:tcMar>
              <w:top w:w="30" w:type="dxa"/>
              <w:bottom w:w="3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7"/>
              </w:rPr>
              <w:t>Évaluer le risque à la place de l'employeur, signer le DUERP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E. Actifs — ISO 55001</w:t>
            </w:r>
          </w:p>
        </w:tc>
        <w:tc>
          <w:tcPr>
            <w:tcW w:type="dxa" w:w="680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5</w:t>
            </w:r>
          </w:p>
        </w:tc>
        <w:tc>
          <w:tcPr>
            <w:tcW w:type="dxa" w:w="4139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Registre d'actifs, grilles de criticité, trames LCC, plan de maintenance</w:t>
            </w:r>
          </w:p>
        </w:tc>
        <w:tc>
          <w:tcPr>
            <w:tcW w:type="dxa" w:w="4876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Arbitrer un investissement patrimonial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7"/>
              </w:rPr>
              <w:t>F. Énergie — ISO 50001</w:t>
            </w:r>
          </w:p>
        </w:tc>
        <w:tc>
          <w:tcPr>
            <w:tcW w:type="dxa" w:w="680"/>
            <w:tcMar>
              <w:top w:w="30" w:type="dxa"/>
              <w:bottom w:w="3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7"/>
              </w:rPr>
              <w:t>5</w:t>
            </w:r>
          </w:p>
        </w:tc>
        <w:tc>
          <w:tcPr>
            <w:tcW w:type="dxa" w:w="4139"/>
            <w:tcMar>
              <w:top w:w="30" w:type="dxa"/>
              <w:bottom w:w="3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7"/>
              </w:rPr>
              <w:t>Revue énergétique, fiches EnPI, plan de M&amp;V, plan d'action</w:t>
            </w:r>
          </w:p>
        </w:tc>
        <w:tc>
          <w:tcPr>
            <w:tcW w:type="dxa" w:w="4876"/>
            <w:tcMar>
              <w:top w:w="30" w:type="dxa"/>
              <w:bottom w:w="3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7"/>
              </w:rPr>
              <w:t>Valider une économie réelle sur site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G. Continuité — ISO 22301</w:t>
            </w:r>
          </w:p>
        </w:tc>
        <w:tc>
          <w:tcPr>
            <w:tcW w:type="dxa" w:w="680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5</w:t>
            </w:r>
          </w:p>
        </w:tc>
        <w:tc>
          <w:tcPr>
            <w:tcW w:type="dxa" w:w="4139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BIA, trames de BCP, scénarios d'exercice, cartographie des dépendances</w:t>
            </w:r>
          </w:p>
        </w:tc>
        <w:tc>
          <w:tcPr>
            <w:tcW w:type="dxa" w:w="4876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Déclencher une cellule de crise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7"/>
              </w:rPr>
              <w:t>H. Anti-corruption — ISO 37001</w:t>
            </w:r>
          </w:p>
        </w:tc>
        <w:tc>
          <w:tcPr>
            <w:tcW w:type="dxa" w:w="680"/>
            <w:tcMar>
              <w:top w:w="30" w:type="dxa"/>
              <w:bottom w:w="3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7"/>
              </w:rPr>
              <w:t>4</w:t>
            </w:r>
          </w:p>
        </w:tc>
        <w:tc>
          <w:tcPr>
            <w:tcW w:type="dxa" w:w="4139"/>
            <w:tcMar>
              <w:top w:w="30" w:type="dxa"/>
              <w:bottom w:w="3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7"/>
              </w:rPr>
              <w:t>Cartographie du risque, questionnaires tiers, registre cadeaux, procédure d'alerte</w:t>
            </w:r>
          </w:p>
        </w:tc>
        <w:tc>
          <w:tcPr>
            <w:tcW w:type="dxa" w:w="4876"/>
            <w:tcMar>
              <w:top w:w="30" w:type="dxa"/>
              <w:bottom w:w="3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7"/>
              </w:rPr>
              <w:t>Instruire une alerte, décider d'une sanction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I. Conformité — ISO 37301</w:t>
            </w:r>
          </w:p>
        </w:tc>
        <w:tc>
          <w:tcPr>
            <w:tcW w:type="dxa" w:w="680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4</w:t>
            </w:r>
          </w:p>
        </w:tc>
        <w:tc>
          <w:tcPr>
            <w:tcW w:type="dxa" w:w="4139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Registre des obligations, matrice de risque de non-conformité, plan de formation</w:t>
            </w:r>
          </w:p>
        </w:tc>
        <w:tc>
          <w:tcPr>
            <w:tcW w:type="dxa" w:w="4876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Interpréter une obligation juridique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7"/>
              </w:rPr>
              <w:t>J. SMS aérodrome</w:t>
            </w:r>
          </w:p>
        </w:tc>
        <w:tc>
          <w:tcPr>
            <w:tcW w:type="dxa" w:w="680"/>
            <w:tcMar>
              <w:top w:w="30" w:type="dxa"/>
              <w:bottom w:w="3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7"/>
              </w:rPr>
              <w:t>17</w:t>
            </w:r>
          </w:p>
        </w:tc>
        <w:tc>
          <w:tcPr>
            <w:tcW w:type="dxa" w:w="4139"/>
            <w:tcMar>
              <w:top w:w="30" w:type="dxa"/>
              <w:bottom w:w="3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7"/>
              </w:rPr>
              <w:t>Manuel SMS, registre des dangers, trames d'évaluation, tableau SPI, trames d'enquête, dossiers MOC</w:t>
            </w:r>
          </w:p>
        </w:tc>
        <w:tc>
          <w:tcPr>
            <w:tcW w:type="dxa" w:w="4876"/>
            <w:tcMar>
              <w:top w:w="30" w:type="dxa"/>
              <w:bottom w:w="3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7"/>
              </w:rPr>
              <w:t>Accepter un risque, fermer une piste, signer une évaluation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K. Carbone et ACA</w:t>
            </w:r>
          </w:p>
        </w:tc>
        <w:tc>
          <w:tcPr>
            <w:tcW w:type="dxa" w:w="680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12</w:t>
            </w:r>
          </w:p>
        </w:tc>
        <w:tc>
          <w:tcPr>
            <w:tcW w:type="dxa" w:w="4139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Méthode de calcul, inventaire, dossier ACA, trajectoire chiffrée, fiches leviers</w:t>
            </w:r>
          </w:p>
        </w:tc>
        <w:tc>
          <w:tcPr>
            <w:tcW w:type="dxa" w:w="4876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Certifier un chiffre, acheter des crédits, engager un investissement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7"/>
              </w:rPr>
              <w:t>L. Savoir-être</w:t>
            </w:r>
          </w:p>
        </w:tc>
        <w:tc>
          <w:tcPr>
            <w:tcW w:type="dxa" w:w="680"/>
            <w:tcMar>
              <w:top w:w="30" w:type="dxa"/>
              <w:bottom w:w="3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7"/>
              </w:rPr>
              <w:t>7</w:t>
            </w:r>
          </w:p>
        </w:tc>
        <w:tc>
          <w:tcPr>
            <w:tcW w:type="dxa" w:w="4139"/>
            <w:tcMar>
              <w:top w:w="30" w:type="dxa"/>
              <w:bottom w:w="3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7"/>
              </w:rPr>
              <w:t>Grilles d'observation, trames d'entretien, supports de formation</w:t>
            </w:r>
          </w:p>
        </w:tc>
        <w:tc>
          <w:tcPr>
            <w:tcW w:type="dxa" w:w="4876"/>
            <w:tcMar>
              <w:top w:w="30" w:type="dxa"/>
              <w:bottom w:w="3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7"/>
              </w:rPr>
              <w:t>Porter la posture et l'autorité au nom du titulaire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M. Clause 7.2 transverse</w:t>
            </w:r>
          </w:p>
        </w:tc>
        <w:tc>
          <w:tcPr>
            <w:tcW w:type="dxa" w:w="680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14</w:t>
            </w:r>
          </w:p>
        </w:tc>
        <w:tc>
          <w:tcPr>
            <w:tcW w:type="dxa" w:w="4139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Analyse des besoins, référentiel de prérequis, dossier de preuves, plan d'efficacité</w:t>
            </w:r>
          </w:p>
        </w:tc>
        <w:tc>
          <w:tcPr>
            <w:tcW w:type="dxa" w:w="4876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Nommer, évaluer et sanctionner les personnes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7"/>
              </w:rPr>
              <w:t>TOTAL</w:t>
            </w:r>
          </w:p>
        </w:tc>
        <w:tc>
          <w:tcPr>
            <w:tcW w:type="dxa" w:w="680"/>
            <w:tcMar>
              <w:top w:w="30" w:type="dxa"/>
              <w:bottom w:w="3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7"/>
              </w:rPr>
              <w:t>99</w:t>
            </w:r>
          </w:p>
        </w:tc>
        <w:tc>
          <w:tcPr>
            <w:tcW w:type="dxa" w:w="4139"/>
            <w:tcMar>
              <w:top w:w="30" w:type="dxa"/>
              <w:bottom w:w="3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7"/>
              </w:rPr>
              <w:t>—</w:t>
            </w:r>
          </w:p>
        </w:tc>
        <w:tc>
          <w:tcPr>
            <w:tcW w:type="dxa" w:w="4876"/>
            <w:tcMar>
              <w:top w:w="30" w:type="dxa"/>
              <w:bottom w:w="3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7"/>
              </w:rPr>
              <w:t>—</w:t>
            </w:r>
          </w:p>
        </w:tc>
      </w:tr>
    </w:tbl>
    <w:p>
      <w:pPr>
        <w:spacing w:after="80" w:before="0"/>
      </w:pPr>
      <w:r>
        <w:rPr>
          <w:b/>
          <w:i w:val="0"/>
          <w:color w:val="1F3864"/>
          <w:sz w:val="24"/>
        </w:rPr>
        <w:t>Trois casquettes opérationnelles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</w:trPr>
        <w:tc>
          <w:tcPr>
            <w:tcW w:type="dxa" w:w="2268"/>
            <w:shd w:val="clear" w:color="auto" w:fill="1F3864"/>
            <w:tcMar>
              <w:top w:w="20" w:type="dxa"/>
              <w:bottom w:w="2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Casquette</w:t>
            </w:r>
          </w:p>
        </w:tc>
        <w:tc>
          <w:tcPr>
            <w:tcW w:type="dxa" w:w="3685"/>
            <w:shd w:val="clear" w:color="auto" w:fill="1F3864"/>
            <w:tcMar>
              <w:top w:w="20" w:type="dxa"/>
              <w:bottom w:w="2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Compétences dominantes</w:t>
            </w:r>
          </w:p>
        </w:tc>
        <w:tc>
          <w:tcPr>
            <w:tcW w:type="dxa" w:w="6236"/>
            <w:shd w:val="clear" w:color="auto" w:fill="1F3864"/>
            <w:tcMar>
              <w:top w:w="20" w:type="dxa"/>
              <w:bottom w:w="20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Livrables types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Architecte du système intégré</w:t>
            </w:r>
          </w:p>
        </w:tc>
        <w:tc>
          <w:tcPr>
            <w:tcW w:type="dxa" w:w="3685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A01-A12, B, C, D, E, F, G, H, I, M</w:t>
            </w:r>
          </w:p>
        </w:tc>
        <w:tc>
          <w:tcPr>
            <w:tcW w:type="dxa" w:w="6236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Architecture documentaire, table HLS, analyse d'écarts, programme d'audit, revue de direction, matrice 7.2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7"/>
              </w:rPr>
              <w:t>Ingénieur SMS aérodrome</w:t>
            </w:r>
          </w:p>
        </w:tc>
        <w:tc>
          <w:tcPr>
            <w:tcW w:type="dxa" w:w="3685"/>
            <w:tcMar>
              <w:top w:w="30" w:type="dxa"/>
              <w:bottom w:w="3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7"/>
              </w:rPr>
              <w:t>J01-J17 + D03, D04, G03, G04</w:t>
            </w:r>
          </w:p>
        </w:tc>
        <w:tc>
          <w:tcPr>
            <w:tcW w:type="dxa" w:w="6236"/>
            <w:tcMar>
              <w:top w:w="30" w:type="dxa"/>
              <w:bottom w:w="30" w:type="dxa"/>
              <w:start w:w="60" w:type="dxa"/>
              <w:end w:w="60" w:type="dxa"/>
            </w:tcMar>
            <w:shd w:val="clear" w:color="auto" w:fill="F2F7FB"/>
            <w:vAlign w:val="center"/>
          </w:tcPr>
          <w:p>
            <w:pPr>
              <w:jc w:val="left"/>
            </w:pPr>
            <w:r>
              <w:rPr>
                <w:sz w:val="17"/>
              </w:rPr>
              <w:t>Manuel SMS, registre des dangers, évaluations, SPI, trames d'enquête, dossiers MOC, plan d'exercices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Ingénieur carbone et ACA</w:t>
            </w:r>
          </w:p>
        </w:tc>
        <w:tc>
          <w:tcPr>
            <w:tcW w:type="dxa" w:w="3685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K01-K12 + F01-F05, C01-C02</w:t>
            </w:r>
          </w:p>
        </w:tc>
        <w:tc>
          <w:tcPr>
            <w:tcW w:type="dxa" w:w="6236"/>
            <w:tcMar>
              <w:top w:w="30" w:type="dxa"/>
              <w:bottom w:w="30" w:type="dxa"/>
              <w:start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Note de périmètre, inventaire, dossier ACA, trajectoire, MACC, politique de compensation, dossier de vérification</w:t>
            </w:r>
          </w:p>
        </w:tc>
      </w:tr>
    </w:tbl>
    <w:p>
      <w:pPr>
        <w:spacing w:after="80" w:before="0"/>
      </w:pPr>
      <w:r>
        <w:rPr>
          <w:b/>
          <w:i w:val="0"/>
          <w:color w:val="1F3864"/>
          <w:sz w:val="24"/>
        </w:rPr>
        <w:t>Permissions — ce que l'agent peut faire</w:t>
      </w:r>
    </w:p>
    <w:p>
      <w:pPr>
        <w:spacing w:after="40" w:before="0"/>
      </w:pPr>
      <w:r>
        <w:rPr>
          <w:b w:val="0"/>
          <w:i w:val="0"/>
          <w:sz w:val="17"/>
        </w:rPr>
        <w:t>Peut : lire les documents internes et les données agrégées ; conduire des entretiens ; rédiger en brouillon ; calculer et consolider des données tracées ; alerter sur un écart ; préparer les dossiers d'audit, d'inspection et de vérification.</w:t>
      </w:r>
    </w:p>
    <w:p>
      <w:pPr>
        <w:spacing w:after="40" w:before="0"/>
      </w:pPr>
      <w:r>
        <w:rPr>
          <w:b w:val="0"/>
          <w:i w:val="0"/>
          <w:sz w:val="17"/>
        </w:rPr>
        <w:t>Ne peut pas : publier, signer ou approuver ; supprimer un document validé ; attribuer un niveau de compétence sans preuve ; accepter un risque de sécurité ni valider un MOC ; certifier un chiffre d'émissions ni acheter des crédits ; contacter autorité, certificateur ou tiers sans mandat.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