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864"/>
          <w:sz w:val="40"/>
        </w:rPr>
        <w:t>MATRICE DE TRAÇABILITÉ</w:t>
      </w:r>
    </w:p>
    <w:p>
      <w:pPr>
        <w:spacing w:after="160" w:before="0"/>
      </w:pPr>
      <w:r>
        <w:rPr>
          <w:b w:val="0"/>
          <w:i w:val="0"/>
          <w:color w:val="2E5496"/>
          <w:sz w:val="24"/>
        </w:rPr>
        <w:t>Agent Anticorruption (ARCA) — ISO 37001:2025 / loi Sapin II (art. 17)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  <w:shd w:val="clear" w:color="auto" w:fill="D9E2F3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b/>
                <w:sz w:val="19"/>
              </w:rPr>
              <w:t>Projet</w:t>
            </w:r>
          </w:p>
        </w:tc>
        <w:tc>
          <w:tcPr>
            <w:tcW w:type="dxa" w:w="1247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9"/>
              </w:rPr>
              <w:t>Agent de Référentiel et de Construction Anti-corruption (ARCA)</w:t>
            </w:r>
          </w:p>
        </w:tc>
      </w:tr>
      <w:tr>
        <w:tc>
          <w:tcPr>
            <w:tcW w:type="dxa" w:w="2551"/>
            <w:shd w:val="clear" w:color="auto" w:fill="D9E2F3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1247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9"/>
              </w:rPr>
              <w:t>Matrice de traçabilité exigence → document → preuve</w:t>
            </w:r>
          </w:p>
        </w:tc>
      </w:tr>
      <w:tr>
        <w:tc>
          <w:tcPr>
            <w:tcW w:type="dxa" w:w="2551"/>
            <w:shd w:val="clear" w:color="auto" w:fill="D9E2F3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b/>
                <w:sz w:val="19"/>
              </w:rPr>
              <w:t>Numérotation</w:t>
            </w:r>
          </w:p>
        </w:tc>
        <w:tc>
          <w:tcPr>
            <w:tcW w:type="dxa" w:w="1247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9"/>
              </w:rPr>
              <w:t>MRA_PDC_XX (documents du projet anticorruption)</w:t>
            </w:r>
          </w:p>
        </w:tc>
      </w:tr>
      <w:tr>
        <w:tc>
          <w:tcPr>
            <w:tcW w:type="dxa" w:w="2551"/>
            <w:shd w:val="clear" w:color="auto" w:fill="D9E2F3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b/>
                <w:sz w:val="19"/>
              </w:rPr>
              <w:t>Version / Date</w:t>
            </w:r>
          </w:p>
        </w:tc>
        <w:tc>
          <w:tcPr>
            <w:tcW w:type="dxa" w:w="1247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9"/>
              </w:rPr>
              <w:t>0.1 — 2026-10-20</w:t>
            </w:r>
          </w:p>
        </w:tc>
      </w:tr>
      <w:tr>
        <w:tc>
          <w:tcPr>
            <w:tcW w:type="dxa" w:w="2551"/>
            <w:shd w:val="clear" w:color="auto" w:fill="D9E2F3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b/>
                <w:sz w:val="19"/>
              </w:rPr>
              <w:t>Statut</w:t>
            </w:r>
          </w:p>
        </w:tc>
        <w:tc>
          <w:tcPr>
            <w:tcW w:type="dxa" w:w="1247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9"/>
              </w:rPr>
              <w:t>Brouillon (à valider documentaire)</w:t>
            </w:r>
          </w:p>
        </w:tc>
      </w:tr>
      <w:tr>
        <w:tc>
          <w:tcPr>
            <w:tcW w:type="dxa" w:w="2551"/>
            <w:shd w:val="clear" w:color="auto" w:fill="D9E2F3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b/>
                <w:sz w:val="19"/>
              </w:rPr>
              <w:t>Propriétaire</w:t>
            </w:r>
          </w:p>
        </w:tc>
        <w:tc>
          <w:tcPr>
            <w:tcW w:type="dxa" w:w="1247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9"/>
              </w:rPr>
              <w:t>Fonction anticorruption</w:t>
            </w:r>
          </w:p>
        </w:tc>
      </w:tr>
      <w:tr>
        <w:tc>
          <w:tcPr>
            <w:tcW w:type="dxa" w:w="2551"/>
            <w:shd w:val="clear" w:color="auto" w:fill="D9E2F3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b/>
                <w:sz w:val="19"/>
              </w:rPr>
              <w:t>Auteur / Responsable</w:t>
            </w:r>
          </w:p>
        </w:tc>
        <w:tc>
          <w:tcPr>
            <w:tcW w:type="dxa" w:w="1247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9"/>
              </w:rPr>
              <w:t>Responsable QSE</w:t>
            </w:r>
          </w:p>
        </w:tc>
      </w:tr>
      <w:tr>
        <w:tc>
          <w:tcPr>
            <w:tcW w:type="dxa" w:w="2551"/>
            <w:shd w:val="clear" w:color="auto" w:fill="D9E2F3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b/>
                <w:sz w:val="19"/>
              </w:rPr>
              <w:t>Vérificateur</w:t>
            </w:r>
          </w:p>
        </w:tc>
        <w:tc>
          <w:tcPr>
            <w:tcW w:type="dxa" w:w="1247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9"/>
              </w:rPr>
              <w:t>Chef département Conformité &amp; Gestion des Risques</w:t>
            </w:r>
          </w:p>
        </w:tc>
      </w:tr>
      <w:tr>
        <w:tc>
          <w:tcPr>
            <w:tcW w:type="dxa" w:w="2551"/>
            <w:shd w:val="clear" w:color="auto" w:fill="D9E2F3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b/>
                <w:sz w:val="19"/>
              </w:rPr>
              <w:t>Approbateur</w:t>
            </w:r>
          </w:p>
        </w:tc>
        <w:tc>
          <w:tcPr>
            <w:tcW w:type="dxa" w:w="1247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9"/>
              </w:rPr>
              <w:t>Directeur Général</w:t>
            </w:r>
          </w:p>
        </w:tc>
      </w:tr>
      <w:tr>
        <w:tc>
          <w:tcPr>
            <w:tcW w:type="dxa" w:w="2551"/>
            <w:shd w:val="clear" w:color="auto" w:fill="D9E2F3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b/>
                <w:sz w:val="19"/>
              </w:rPr>
              <w:t>Références</w:t>
            </w:r>
          </w:p>
        </w:tc>
        <w:tc>
          <w:tcPr>
            <w:tcW w:type="dxa" w:w="12472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9"/>
              </w:rPr>
              <w:t>ISO 37001:2025 ; Loi n° 2016-1691 du 9 décembre 2016 (art. 17) ; AFA</w:t>
            </w:r>
          </w:p>
        </w:tc>
      </w:tr>
    </w:tbl>
    <w:p>
      <w:pPr>
        <w:spacing w:after="40" w:before="0"/>
      </w:pPr>
      <w:r>
        <w:rPr>
          <w:b w:val="0"/>
          <w:i w:val="0"/>
          <w:sz w:val="20"/>
        </w:rPr>
      </w:r>
    </w:p>
    <w:p>
      <w:pPr>
        <w:spacing w:after="80" w:before="0"/>
      </w:pPr>
      <w:r>
        <w:rPr>
          <w:b/>
          <w:i w:val="0"/>
          <w:color w:val="1F3864"/>
          <w:sz w:val="22"/>
        </w:rPr>
        <w:t>Glossaire des documents du projet (numérotation MRA_PDC_XX)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MRA_PDC_010_01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Politique anticorruption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Niveau A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MRA_PDC_010_02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Code de déontologie / règles de conduite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Niveau A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MRA_PDC_010_03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Charte des cadeaux et invitations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Niveau A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MRA_PDC_020_01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Cartographie et évaluation des risques anticorruption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Niveau B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MRA_PDC_020_02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Règles de diligence raisonnable (tiers, contrats, paiements)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Niveau B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MRA_PDC_020_03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Procédures d'attribution des marchés publics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Niveau B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MRA_PDC_020_04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Règles de signalement / lanceurs d'alerte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Niveau B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MRA_PDC_020_05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Programme de formation et de sensibilisation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Niveau B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MRA_PDC_020_06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Comité de suivi anticorruption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Niveau B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MRA_PDC_030_01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Registre des déclarations d'intérêts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Niveau C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MRA_PDC_030_02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Attestations de déontologie des parties prenantes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Niveau C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MRA_PDC_030_03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Journaux de formation et de sensibilisation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Niveau C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MRA_PDC_030_04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Comptes rendus de due diligence (tiers)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Niveau C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MRA_PDC_030_05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Comptes rendus d'audits / comité de suivi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Niveau C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MRA_PDC_040_01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Matrice de traçabilité anticorruption (ce document)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Niveau D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MRA_PDC_040_02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Grilles de cotation et de notation des risques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2F2"/>
            <w:vAlign w:val="center"/>
          </w:tcPr>
          <w:p>
            <w:r>
              <w:rPr>
                <w:sz w:val="18"/>
              </w:rPr>
              <w:t>Niveau D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MRA_PDC_040_03</w:t>
            </w:r>
          </w:p>
        </w:tc>
        <w:tc>
          <w:tcPr>
            <w:tcW w:type="dxa" w:w="708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Tableau de bord anticorruption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r>
              <w:rPr>
                <w:sz w:val="18"/>
              </w:rPr>
              <w:t>Niveau D</w:t>
            </w:r>
          </w:p>
        </w:tc>
      </w:tr>
    </w:tbl>
    <w:p>
      <w:pPr>
        <w:spacing w:after="40" w:before="0"/>
      </w:pPr>
      <w:r>
        <w:rPr>
          <w:b w:val="0"/>
          <w:i w:val="0"/>
          <w:sz w:val="20"/>
        </w:rPr>
      </w:r>
    </w:p>
    <w:p>
      <w:pPr>
        <w:spacing w:after="80" w:before="0"/>
      </w:pPr>
      <w:r>
        <w:rPr>
          <w:b/>
          <w:i w:val="0"/>
          <w:color w:val="1F3864"/>
          <w:sz w:val="22"/>
        </w:rPr>
        <w:t>Matrice principale — Exigences → Documents → Preuves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907"/>
            <w:shd w:val="clear" w:color="auto" w:fill="1F386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 exigence</w:t>
            </w:r>
          </w:p>
        </w:tc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855"/>
            <w:shd w:val="clear" w:color="auto" w:fill="1F386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Exigence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Preuve d'application</w:t>
            </w:r>
          </w:p>
        </w:tc>
        <w:tc>
          <w:tcPr>
            <w:tcW w:type="dxa" w:w="1247"/>
            <w:shd w:val="clear" w:color="auto" w:fill="1F386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Auteur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Vérificateur</w:t>
            </w:r>
          </w:p>
        </w:tc>
        <w:tc>
          <w:tcPr>
            <w:tcW w:type="dxa" w:w="1247"/>
            <w:shd w:val="clear" w:color="auto" w:fill="1F386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Approbateur</w:t>
            </w:r>
          </w:p>
        </w:tc>
        <w:tc>
          <w:tcPr>
            <w:tcW w:type="dxa" w:w="737"/>
            <w:shd w:val="clear" w:color="auto" w:fill="1F386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EQ-001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4.1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La direction détermine le contexte interne et externe affectant l'ISMC anticorruption.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MRA_PDC_020_01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Évaluation des risques / cartographie des risques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2026-11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EQ-002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4.2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Les parties intéressées anticorruption sont identifiées et analysées.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MRA_PDC_020_01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Registre des parties intéressées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2026-11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EQ-003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5.2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Politique anticorruption établie, publiée et communiquée à tous les employés.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MRA_PDC_010_01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Politique anticorruption signée + diffusée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2026-11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EQ-004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5.3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Rôles, responsabilités et autorisations de la direction pour lutter contre la corruption.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MRA_PDC_010_02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Code de déontologie + organigramme d'attribution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2026-11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EQ-005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6.1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Risques anticorruption identifiés et évalués (période de révision définie).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MRA_PDC_020_01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Rapport d'évaluation des risques + grille de cotation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2026-11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EQ-006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6.1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Actions pour gérer les risques anticorruption identifiés.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MRA_PDC_020_02 / 03 / 04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Procédures de diligence, marchés, signalement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EQ-007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7.2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Compétences et formation du personnel adaptées au risque anticorruption.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MRA_PDC_020_05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Programme de formation + journaux de formation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EQ-008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7.3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Conscience du milieu et communication de l'ISMC.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MRA_PDC_010_02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Code de déontologie communiquée + campagnes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EQ-009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7.5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Documents et enregistrements de l'ISMC établis, mis à jour et conservés.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MRA_PDC_040_01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Matrice de traçabilité maintenue à jour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2026-10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EQ-010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8.1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Procédures d'attribution des marchés publics et de sous-traitance selon les règles anti-corruption.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MRA_PDC_020_03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Procédure d'attribution / bilan des marchés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EQ-011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8.2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Diligence raisonnable sur les fournisseurs, sous-traitants et agents commerciaux.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MRA_PDC_020_02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Registre des tiers + due diligences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8.3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Gestion des risques anticorruption dans les activités courantes (boucle d'actions).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MRA_PDC_020_02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Plan d'actions anticorruption avec propriétaires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EQ-013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8.4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Mécanisme de signalement des allégations de corruption (lanceurs d'alerte).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MRA_PDC_020_04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Registre de signalement / procédure lanceurs d'alerte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EQ-014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8.5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Procédures de négociation et d'activités commerciales intégrant le code de déontologie.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MRA_PDC_010_02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Charte de négociation + code de déontologie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EQ-015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9.2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Audit interne de l'ISMC anticorruption mené sur une période déterminée.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MRA_PDC_030_05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Compte rendu d'audit anticorruption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2027-01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EQ-016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9.3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Évaluation de conformité / délivrance du système de management anticorruption.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MRA_PDC_030_05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Attestation de conformité / revue de direction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2027-01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EQ-017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ISO 37001:2025 — cl. 10.2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Actions correctives et amélioration continue de l'ISMC.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MRA_PDC_040_03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Tableau de bord anticorruption avec indicateurs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2027-02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SA-001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Sapin II — art. 17 (1ère mesure)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Évaluation des risques anticorruption and cartographie des risques d'attentat.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MRA_PDC_020_01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Rapport d'évaluation des risques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2026-11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SA-002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Sapin II — art. 17 (2e mesure)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Règles de diligence raisonnable pour les intermédiaires et tiers.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MRA_PDC_020_02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Mémoire de diligence raisonnable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SA-003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Sapin II — art. 17 (3e mesure)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Procédures d'attribution des marchés publics respectant les exigences anticorruption.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MRA_PDC_020_03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Procédure d'attribution des marchés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SA-004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Sapin II — art. 17 (4e mesure)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Déclaration des intérêts des parties prenantes.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MRA_PDC_030_01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Registre des déclarations d'intérêts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SA-005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Sapin II — art. 17 (5e mesure)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Code de déontologie applicable à l'ensemble des parties prenantes.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MRA_PDC_010_02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Code de déontologie signé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2026-11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SA-006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Sapin II — art. 17 (6e mesure)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Programme de formation et de sensibilisation à l'anticorruption.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MRA_PDC_020_05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Programme de formation + attestations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SA-007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Sapin II — art. 17 (7e mesure)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6"/>
              </w:rPr>
              <w:t>Comité de suivi de la lutte anticorruption.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MRA_PDC_020_06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Compte rendu de comité de suivi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2027-01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SA-008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Sapin II — art. 17 (8e mesure)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Programme de détection et de signalement / lanceurs d'alerte.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MRA_PDC_020_04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Procédure de signalement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Resp. QSE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Chef CR&amp;GR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DG</w:t>
            </w:r>
          </w:p>
        </w:tc>
        <w:tc>
          <w:tcPr>
            <w:tcW w:type="dxa" w:w="737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2026-12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Brouillon</w:t>
            </w:r>
          </w:p>
        </w:tc>
      </w:tr>
    </w:tbl>
    <w:p>
      <w:pPr>
        <w:spacing w:after="40" w:before="0"/>
      </w:pPr>
      <w:r>
        <w:rPr>
          <w:b w:val="0"/>
          <w:i w:val="0"/>
          <w:sz w:val="20"/>
        </w:rPr>
      </w:r>
    </w:p>
    <w:p>
      <w:pPr>
        <w:spacing w:after="80" w:before="0"/>
      </w:pPr>
      <w:r>
        <w:rPr>
          <w:b/>
          <w:i w:val="0"/>
          <w:color w:val="1F3864"/>
          <w:sz w:val="22"/>
        </w:rPr>
        <w:t>Lecture et usage du document</w:t>
      </w:r>
    </w:p>
    <w:p>
      <w:pPr>
        <w:spacing w:after="60"/>
        <w:ind w:left="283"/>
      </w:pPr>
      <w:r>
        <w:rPr>
          <w:sz w:val="19"/>
        </w:rPr>
        <w:t>• Chaque exigence normatif (ISO 37001:2025 / art. 17 Sapin II) est rattachée à un document du système et à une preuve d'application.</w:t>
      </w:r>
    </w:p>
    <w:p>
      <w:pPr>
        <w:spacing w:after="60"/>
        <w:ind w:left="283"/>
      </w:pPr>
      <w:r>
        <w:rPr>
          <w:sz w:val="19"/>
        </w:rPr>
        <w:t>• Les colonnes Auteur / Vérificateur / Approbateur définissent la chaîne de validation de chaque document.</w:t>
      </w:r>
    </w:p>
    <w:p>
      <w:pPr>
        <w:spacing w:after="60"/>
        <w:ind w:left="283"/>
      </w:pPr>
      <w:r>
        <w:rPr>
          <w:sz w:val="19"/>
        </w:rPr>
        <w:t>• Statut 'Brouillon' = document en élaboration, à valider lors de la revue du corpus.</w:t>
      </w:r>
    </w:p>
    <w:p>
      <w:pPr>
        <w:spacing w:after="60"/>
        <w:ind w:left="283"/>
      </w:pPr>
      <w:r>
        <w:rPr>
          <w:sz w:val="19"/>
        </w:rPr>
        <w:t>• Cette matrice est maintenue à jour dans le cadre de la boucle de production ARCA (cadrer → décomposer → concevoir → rédiger → prouver).</w:t>
      </w:r>
    </w:p>
    <w:p>
      <w:pPr>
        <w:spacing w:after="40" w:before="0"/>
      </w:pPr>
      <w:r>
        <w:rPr>
          <w:b w:val="0"/>
          <w:i w:val="0"/>
          <w:sz w:val="20"/>
        </w:rPr>
      </w:r>
    </w:p>
    <w:p>
      <w:pPr>
        <w:spacing w:after="80" w:before="0"/>
        <w:jc w:val="center"/>
      </w:pPr>
      <w:r>
        <w:rPr>
          <w:b w:val="0"/>
          <w:i/>
          <w:color w:val="808080"/>
          <w:sz w:val="18"/>
        </w:rPr>
        <w:t>— Fin de la matrice —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