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864"/>
          <w:sz w:val="28"/>
        </w:rPr>
        <w:t>CONTEXTE DE L'ORGANISME — ISO 37001:2025 §4.1</w:t>
      </w:r>
    </w:p>
    <w:p>
      <w:pPr>
        <w:spacing w:after="120" w:before="0"/>
      </w:pPr>
      <w:r>
        <w:rPr>
          <w:b w:val="0"/>
          <w:i w:val="0"/>
          <w:color w:val="555555"/>
          <w:sz w:val="18"/>
        </w:rPr>
        <w:t>Référence : MRA_PDC_03.0X | Version 1.0 | 22 octobre 2026 | ISO 37001:2025 — chapitre 4</w:t>
      </w:r>
    </w:p>
    <w:p>
      <w:pPr>
        <w:spacing w:after="40" w:before="0"/>
      </w:pPr>
      <w:r>
        <w:rPr>
          <w:b/>
          <w:i w:val="0"/>
          <w:sz w:val="22"/>
        </w:rPr>
        <w:t>Définition du périmètre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Élément</w:t>
            </w:r>
          </w:p>
        </w:tc>
        <w:tc>
          <w:tcPr>
            <w:tcW w:type="dxa" w:w="10375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Définition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Organisation</w:t>
            </w:r>
          </w:p>
        </w:tc>
        <w:tc>
          <w:tcPr>
            <w:tcW w:type="dxa" w:w="1037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AERIA — Gestionnaire de l'Aéroport International Félix Houphouët-Boigny d'Abidjan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7"/>
              </w:rPr>
              <w:t>Système de management anti-corruption (ISMC)</w:t>
            </w:r>
          </w:p>
        </w:tc>
        <w:tc>
          <w:tcPr>
            <w:tcW w:type="dxa" w:w="1037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7"/>
              </w:rPr>
              <w:t>Conforme ISO 37001:2025, loi Sapin II (art. 17), recommandations AFA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Zone géographique</w:t>
            </w:r>
          </w:p>
        </w:tc>
        <w:tc>
          <w:tcPr>
            <w:tcW w:type="dxa" w:w="1037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Aérodrome international Félix Houphouët-Boigny (Abidjan, CI) — siège + plateformes + tiers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7"/>
              </w:rPr>
              <w:t>Périmètre documentaire</w:t>
            </w:r>
          </w:p>
        </w:tc>
        <w:tc>
          <w:tcPr>
            <w:tcW w:type="dxa" w:w="1037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7"/>
              </w:rPr>
              <w:t>Corpus 60–90 documents, chapitres par référentiel (ISO 37001, 9001, 14001, 45001, 55001, 50001, 22301, 37301 + OACI + ACA)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Statut</w:t>
            </w:r>
          </w:p>
        </w:tc>
        <w:tc>
          <w:tcPr>
            <w:tcW w:type="dxa" w:w="1037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Brouillon — à valider avant mise en production</w:t>
            </w:r>
          </w:p>
        </w:tc>
      </w:tr>
    </w:tbl>
    <w:p>
      <w:pPr>
        <w:spacing w:after="40" w:before="0"/>
      </w:pPr>
      <w:r>
        <w:rPr>
          <w:b/>
          <w:i w:val="0"/>
          <w:sz w:val="22"/>
        </w:rPr>
        <w:t>Contexte externe (enjeux déterminés)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361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Domaine</w:t>
            </w:r>
          </w:p>
        </w:tc>
        <w:tc>
          <w:tcPr>
            <w:tcW w:type="dxa" w:w="3061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Enjeu</w:t>
            </w:r>
          </w:p>
        </w:tc>
        <w:tc>
          <w:tcPr>
            <w:tcW w:type="dxa" w:w="2948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Impact sur l'ISMC</w:t>
            </w:r>
          </w:p>
        </w:tc>
        <w:tc>
          <w:tcPr>
            <w:tcW w:type="dxa" w:w="850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Crit.</w:t>
            </w:r>
          </w:p>
        </w:tc>
      </w:tr>
      <w:tr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Légal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Loi Sapin II art.17, Convention La Havane/ONU anticorruption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Mandat déclaration, diligence, alerte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Critique</w:t>
            </w:r>
          </w:p>
        </w:tc>
      </w:tr>
      <w:tr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Certificaire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AFA, ACA niveaux 1–5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Cartographie, traçabilité carbone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Critique</w:t>
            </w:r>
          </w:p>
        </w:tc>
      </w:tr>
      <w:tr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Économique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Trafic, concurrence, flux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Pression sur contrats/appels d'offres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Critique</w:t>
            </w:r>
          </w:p>
        </w:tc>
      </w:tr>
      <w:tr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Culturel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Cadeaux, pot de fin d'année normalisés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Rareté remontée d'information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Critique</w:t>
            </w:r>
          </w:p>
        </w:tc>
      </w:tr>
      <w:tr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Tiers/intermédiaires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Courtiers, sous-traitants, fournisseurs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Diligence, contrats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Critique</w:t>
            </w:r>
          </w:p>
        </w:tc>
      </w:tr>
      <w:tr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Technique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GED, outil carbone, ECCAIRS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Traçabilité, intégrité des données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Moyen</w:t>
            </w:r>
          </w:p>
        </w:tc>
      </w:tr>
    </w:tbl>
    <w:p>
      <w:pPr>
        <w:spacing w:after="40" w:before="0"/>
      </w:pPr>
      <w:r>
        <w:rPr>
          <w:b/>
          <w:i w:val="0"/>
          <w:sz w:val="22"/>
        </w:rPr>
        <w:t>Contexte interne (enjeux déterminés)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587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Domaine</w:t>
            </w:r>
          </w:p>
        </w:tc>
        <w:tc>
          <w:tcPr>
            <w:tcW w:type="dxa" w:w="2948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Enjeu</w:t>
            </w:r>
          </w:p>
        </w:tc>
        <w:tc>
          <w:tcPr>
            <w:tcW w:type="dxa" w:w="2835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850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Crit.</w:t>
            </w:r>
          </w:p>
        </w:tc>
      </w:tr>
      <w:tr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Organisation/gouvernance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Structure pyramidale, dirigeants, titulaires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Dynamique décision, valorisation initiatives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Critique</w:t>
            </w:r>
          </w:p>
        </w:tc>
      </w:tr>
      <w:tr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Culture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Cadeaux, respect autorité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Normalisation comportements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Critique</w:t>
            </w:r>
          </w:p>
        </w:tc>
      </w:tr>
      <w:tr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Processus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Procédures partielles, gestion tiers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Traçabilité, double-sens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Critique</w:t>
            </w:r>
          </w:p>
        </w:tc>
      </w:tr>
      <w:tr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Ressources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Équipes, formation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Manque sensibl. anticorruption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Moyen</w:t>
            </w:r>
          </w:p>
        </w:tc>
      </w:tr>
      <w:tr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Outils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GED, CRM, GRC, ECCAIRS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Diffusion info sensible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Moyen</w:t>
            </w:r>
          </w:p>
        </w:tc>
      </w:tr>
    </w:tbl>
    <w:p>
      <w:pPr>
        <w:spacing w:after="40" w:before="0"/>
      </w:pPr>
      <w:r>
        <w:rPr>
          <w:b/>
          <w:i w:val="0"/>
          <w:sz w:val="22"/>
        </w:rPr>
        <w:t>Parties intéressées et enjeux (4.2)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Partie</w:t>
            </w:r>
          </w:p>
        </w:tc>
        <w:tc>
          <w:tcPr>
            <w:tcW w:type="dxa" w:w="3118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Attente</w:t>
            </w:r>
          </w:p>
        </w:tc>
        <w:tc>
          <w:tcPr>
            <w:tcW w:type="dxa" w:w="3685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Impact sur ISMC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Direction AERIA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Certification AFA, gouvernance, transparence</w:t>
            </w:r>
          </w:p>
        </w:tc>
        <w:tc>
          <w:tcPr>
            <w:tcW w:type="dxa" w:w="368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Direction du système, engagement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Titulaires SMI / SMS / carbone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Exigences opérationnelles quotidiennes</w:t>
            </w:r>
          </w:p>
        </w:tc>
        <w:tc>
          <w:tcPr>
            <w:tcW w:type="dxa" w:w="368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Application locale des documents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Auditeurs (AFA, jury panafrican)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Conformité, règles de preuve, audit à blanc</w:t>
            </w:r>
          </w:p>
        </w:tc>
        <w:tc>
          <w:tcPr>
            <w:tcW w:type="dxa" w:w="368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Définir la preuve exigée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Vérificateurs ACA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CHA, données tracées, vérification sans réserve</w:t>
            </w:r>
          </w:p>
        </w:tc>
        <w:tc>
          <w:tcPr>
            <w:tcW w:type="dxa" w:w="368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Traçabilité des données carbone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État / AAC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Contrôle, attestation, respect du droit</w:t>
            </w:r>
          </w:p>
        </w:tc>
        <w:tc>
          <w:tcPr>
            <w:tcW w:type="dxa" w:w="368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Référentiel juridique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Clients, passagers, usagers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Sécurité, image, confidentialité</w:t>
            </w:r>
          </w:p>
        </w:tc>
        <w:tc>
          <w:tcPr>
            <w:tcW w:type="dxa" w:w="368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Contrôle des accès, non-divulgation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Intermédiaires, prestataires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Contrats, paiements</w:t>
            </w:r>
          </w:p>
        </w:tc>
        <w:tc>
          <w:tcPr>
            <w:tcW w:type="dxa" w:w="368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Risque corruption, diligence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Communautés locales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Impact socio-éco (eau, sol, bruit)</w:t>
            </w:r>
          </w:p>
        </w:tc>
        <w:tc>
          <w:tcPr>
            <w:tcW w:type="dxa" w:w="368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Responsabilité environnementale</w:t>
            </w:r>
          </w:p>
        </w:tc>
      </w:tr>
    </w:tbl>
    <w:p>
      <w:pPr>
        <w:spacing w:after="80" w:before="120"/>
        <w:jc w:val="center"/>
      </w:pPr>
      <w:r>
        <w:rPr>
          <w:b w:val="0"/>
          <w:i/>
          <w:color w:val="808080"/>
          <w:sz w:val="18"/>
        </w:rPr>
        <w:t>— Fin de la fiche §4.1 —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