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28"/>
        </w:rPr>
        <w:t>ATTENTES DES PARTIES INTÉRESSÉES — ISO 37001:2025 §4.2</w:t>
      </w:r>
    </w:p>
    <w:p>
      <w:pPr>
        <w:spacing w:after="120" w:before="0"/>
      </w:pPr>
      <w:r>
        <w:rPr>
          <w:b w:val="0"/>
          <w:i w:val="0"/>
          <w:color w:val="555555"/>
          <w:sz w:val="18"/>
        </w:rPr>
        <w:t>Référence : MRA_PDC_03.0X | Version 1.0 | 22 octobre 2026 | ISO 37001:2025 — chapitre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2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Partie intéressée</w:t>
            </w:r>
          </w:p>
        </w:tc>
        <w:tc>
          <w:tcPr>
            <w:tcW w:type="dxa" w:w="260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Attente / enjeu</w:t>
            </w:r>
          </w:p>
        </w:tc>
        <w:tc>
          <w:tcPr>
            <w:tcW w:type="dxa" w:w="226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Impact sur l'ISMC</w:t>
            </w:r>
          </w:p>
        </w:tc>
        <w:tc>
          <w:tcPr>
            <w:tcW w:type="dxa" w:w="2551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Réponse / preuve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Direction AERIA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Certification AFA, gouvernance, transparence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Direction du système, engagement exécutif</w:t>
            </w:r>
          </w:p>
        </w:tc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Comité de direction, charte, revue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Titulaires SMI / SMS / carbone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Exigences opérationnelles quotidiennes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Application locale des documents</w:t>
            </w:r>
          </w:p>
        </w:tc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Procédures internes, fiches processus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Auditeurs (AFA, jury panafrican)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Conformité, règles de preuve, audit à blanc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Définir la preuve exigée</w:t>
            </w:r>
          </w:p>
        </w:tc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Matrice traçabilité, PV d'ateliers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Vérificateurs ACA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CHA, données tracées, vérification sans réserve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Traçabilité des données carbone</w:t>
            </w:r>
          </w:p>
        </w:tc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Dossier ACA, facteurs d'émission documentés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État / AAC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Contrôle, attestation, respect du droit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Référentiel juridique</w:t>
            </w:r>
          </w:p>
        </w:tc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Dossier d'audit, attestations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Clients, passagers, usagers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Sécurité, image, confidentialité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Contrôle des accès, non-divulgation</w:t>
            </w:r>
          </w:p>
        </w:tc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Charte, procédure accès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Intermédiaires, prestataires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Contrats, paiements, délais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Diligence raisonnable, traçabilité paiements</w:t>
            </w:r>
          </w:p>
        </w:tc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Registre tiers, devoirs de vigilance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Communautés locales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Impact socio-éco (eau, sol, bruit)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Responsabilité environnementale</w:t>
            </w:r>
          </w:p>
        </w:tc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Registre aspects/impacts</w:t>
            </w:r>
          </w:p>
        </w:tc>
      </w:tr>
    </w:tbl>
    <w:p>
      <w:pPr>
        <w:spacing w:after="40" w:before="0"/>
      </w:pPr>
      <w:r>
        <w:rPr>
          <w:b/>
          <w:i w:val="0"/>
          <w:sz w:val="22"/>
        </w:rPr>
        <w:t>Critères de conservation des attentes (4.2.1)</w:t>
      </w:r>
    </w:p>
    <w:p>
      <w:pPr>
        <w:spacing w:after="40" w:before="0"/>
      </w:pPr>
      <w:r>
        <w:rPr>
          <w:b w:val="0"/>
          <w:i w:val="0"/>
          <w:sz w:val="18"/>
        </w:rPr>
        <w:t>• Chaque partie intéressée et son attente est identifiée et conservée dans la matrice de traçabilité, avec la réponse retenue, la date de mise à jour et le responsable.</w:t>
      </w:r>
    </w:p>
    <w:p>
      <w:pPr>
        <w:spacing w:after="40" w:before="0"/>
      </w:pPr>
      <w:r>
        <w:rPr>
          <w:b w:val="0"/>
          <w:i w:val="0"/>
          <w:sz w:val="18"/>
        </w:rPr>
        <w:t>• Les attentes contraignantes (légales, contractuelles) sont distinguées des attentes souhaitées (conventionnelles).</w:t>
      </w:r>
    </w:p>
    <w:p>
      <w:pPr>
        <w:spacing w:after="40" w:before="0"/>
      </w:pPr>
      <w:r>
        <w:rPr>
          <w:b w:val="0"/>
          <w:i w:val="0"/>
          <w:sz w:val="18"/>
        </w:rPr>
        <w:t>• La matrice est revue après chaque audit, après toute modification de processus et au moins annuellement.</w:t>
      </w:r>
    </w:p>
    <w:p>
      <w:pPr>
        <w:spacing w:after="80" w:before="120"/>
        <w:jc w:val="center"/>
      </w:pPr>
      <w:r>
        <w:rPr>
          <w:b w:val="0"/>
          <w:i/>
          <w:color w:val="808080"/>
          <w:sz w:val="18"/>
        </w:rPr>
        <w:t>— Fin de la fiche §4.2 —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