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864"/>
          <w:sz w:val="28"/>
        </w:rPr>
        <w:t>CHAMP D'APPLICATION DU SYSTÈME DE MANAGEMENT ANTI-CORRUPTION — ISO 37001:2025 §4.3</w:t>
      </w:r>
    </w:p>
    <w:p>
      <w:pPr>
        <w:spacing w:after="120" w:before="0"/>
      </w:pPr>
      <w:r>
        <w:rPr>
          <w:b w:val="0"/>
          <w:i w:val="0"/>
          <w:color w:val="555555"/>
          <w:sz w:val="18"/>
        </w:rPr>
        <w:t>Référence : MRA_PDC_03.0X | Version 1.0 | 22 octobre 2026 | ISO 37001:2025 — chapitre 4</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474"/>
            <w:shd w:val="clear" w:color="auto" w:fill="1F3864"/>
            <w:tcMar>
              <w:top w:w="20" w:type="dxa"/>
              <w:bottom w:w="20" w:type="dxa"/>
              <w:start w:w="80" w:type="dxa"/>
              <w:end w:w="80" w:type="dxa"/>
            </w:tcMar>
            <w:vAlign w:val="center"/>
          </w:tcPr>
          <w:p>
            <w:pPr>
              <w:jc w:val="center"/>
            </w:pPr>
            <w:r>
              <w:rPr>
                <w:b/>
                <w:color w:val="FFFFFF"/>
                <w:sz w:val="17"/>
              </w:rPr>
              <w:t>Élément</w:t>
            </w:r>
          </w:p>
        </w:tc>
        <w:tc>
          <w:tcPr>
            <w:tcW w:type="dxa" w:w="10715"/>
            <w:shd w:val="clear" w:color="auto" w:fill="1F3864"/>
            <w:tcMar>
              <w:top w:w="20" w:type="dxa"/>
              <w:bottom w:w="20" w:type="dxa"/>
              <w:start w:w="80" w:type="dxa"/>
              <w:end w:w="80" w:type="dxa"/>
            </w:tcMar>
            <w:vAlign w:val="center"/>
          </w:tcPr>
          <w:p>
            <w:pPr>
              <w:jc w:val="center"/>
            </w:pPr>
            <w:r>
              <w:rPr>
                <w:b/>
                <w:color w:val="FFFFFF"/>
                <w:sz w:val="17"/>
              </w:rPr>
              <w:t>Définition</w:t>
            </w:r>
          </w:p>
        </w:tc>
      </w:tr>
      <w:tr>
        <w:tc>
          <w:tcPr>
            <w:tcW w:type="dxa" w:w="1474"/>
            <w:tcMar>
              <w:top w:w="40" w:type="dxa"/>
              <w:bottom w:w="40" w:type="dxa"/>
              <w:start w:w="80" w:type="dxa"/>
              <w:end w:w="80" w:type="dxa"/>
            </w:tcMar>
            <w:vAlign w:val="center"/>
          </w:tcPr>
          <w:p>
            <w:r>
              <w:rPr>
                <w:sz w:val="17"/>
              </w:rPr>
              <w:t>Objet du SM</w:t>
            </w:r>
          </w:p>
        </w:tc>
        <w:tc>
          <w:tcPr>
            <w:tcW w:type="dxa" w:w="10715"/>
            <w:tcMar>
              <w:top w:w="40" w:type="dxa"/>
              <w:bottom w:w="40" w:type="dxa"/>
              <w:start w:w="80" w:type="dxa"/>
              <w:end w:w="80" w:type="dxa"/>
            </w:tcMar>
            <w:vAlign w:val="center"/>
          </w:tcPr>
          <w:p>
            <w:r>
              <w:rPr>
                <w:sz w:val="17"/>
              </w:rPr>
              <w:t>Lutte contre la corruption — offres, pots-de-vin, fausses factures, conflits d'intérêts, déclenchement d'alerte, enquête.</w:t>
            </w:r>
          </w:p>
        </w:tc>
      </w:tr>
      <w:tr>
        <w:tc>
          <w:tcPr>
            <w:tcW w:type="dxa" w:w="1474"/>
            <w:tcMar>
              <w:top w:w="40" w:type="dxa"/>
              <w:bottom w:w="40" w:type="dxa"/>
              <w:start w:w="80" w:type="dxa"/>
              <w:end w:w="80" w:type="dxa"/>
            </w:tcMar>
            <w:shd w:val="clear" w:color="auto" w:fill="F2F7FB"/>
            <w:vAlign w:val="center"/>
          </w:tcPr>
          <w:p>
            <w:r>
              <w:rPr>
                <w:sz w:val="17"/>
              </w:rPr>
              <w:t>Organisation concernée</w:t>
            </w:r>
          </w:p>
        </w:tc>
        <w:tc>
          <w:tcPr>
            <w:tcW w:type="dxa" w:w="10715"/>
            <w:tcMar>
              <w:top w:w="40" w:type="dxa"/>
              <w:bottom w:w="40" w:type="dxa"/>
              <w:start w:w="80" w:type="dxa"/>
              <w:end w:w="80" w:type="dxa"/>
            </w:tcMar>
            <w:shd w:val="clear" w:color="auto" w:fill="F2F7FB"/>
            <w:vAlign w:val="center"/>
          </w:tcPr>
          <w:p>
            <w:r>
              <w:rPr>
                <w:sz w:val="17"/>
              </w:rPr>
              <w:t>AERIA — siège + plateformes + tiers présents sur site (caissiers, agents accès, sécurité).</w:t>
            </w:r>
          </w:p>
        </w:tc>
      </w:tr>
      <w:tr>
        <w:tc>
          <w:tcPr>
            <w:tcW w:type="dxa" w:w="1474"/>
            <w:tcMar>
              <w:top w:w="40" w:type="dxa"/>
              <w:bottom w:w="40" w:type="dxa"/>
              <w:start w:w="80" w:type="dxa"/>
              <w:end w:w="80" w:type="dxa"/>
            </w:tcMar>
            <w:vAlign w:val="center"/>
          </w:tcPr>
          <w:p>
            <w:r>
              <w:rPr>
                <w:sz w:val="17"/>
              </w:rPr>
              <w:t>Référentiels couverts</w:t>
            </w:r>
          </w:p>
        </w:tc>
        <w:tc>
          <w:tcPr>
            <w:tcW w:type="dxa" w:w="10715"/>
            <w:tcMar>
              <w:top w:w="40" w:type="dxa"/>
              <w:bottom w:w="40" w:type="dxa"/>
              <w:start w:w="80" w:type="dxa"/>
              <w:end w:w="80" w:type="dxa"/>
            </w:tcMar>
            <w:vAlign w:val="center"/>
          </w:tcPr>
          <w:p>
            <w:r>
              <w:rPr>
                <w:sz w:val="17"/>
              </w:rPr>
              <w:t>ISO 37001:2025, ISO 37301, ISO 31000, ISO 19011, AFA, Loi Sapin II (art.17), OCDE, OACI Annexes 14/19, Doc 9859, Doc 9774, ACA (niveaux 1–5).</w:t>
            </w:r>
          </w:p>
        </w:tc>
      </w:tr>
      <w:tr>
        <w:tc>
          <w:tcPr>
            <w:tcW w:type="dxa" w:w="1474"/>
            <w:tcMar>
              <w:top w:w="40" w:type="dxa"/>
              <w:bottom w:w="40" w:type="dxa"/>
              <w:start w:w="80" w:type="dxa"/>
              <w:end w:w="80" w:type="dxa"/>
            </w:tcMar>
            <w:shd w:val="clear" w:color="auto" w:fill="F2F7FB"/>
            <w:vAlign w:val="center"/>
          </w:tcPr>
          <w:p>
            <w:r>
              <w:rPr>
                <w:sz w:val="17"/>
              </w:rPr>
              <w:t>Documents couverts</w:t>
            </w:r>
          </w:p>
        </w:tc>
        <w:tc>
          <w:tcPr>
            <w:tcW w:type="dxa" w:w="10715"/>
            <w:tcMar>
              <w:top w:w="40" w:type="dxa"/>
              <w:bottom w:w="40" w:type="dxa"/>
              <w:start w:w="80" w:type="dxa"/>
              <w:end w:w="80" w:type="dxa"/>
            </w:tcMar>
            <w:shd w:val="clear" w:color="auto" w:fill="F2F7FB"/>
            <w:vAlign w:val="center"/>
          </w:tcPr>
          <w:p>
            <w:r>
              <w:rPr>
                <w:sz w:val="17"/>
              </w:rPr>
              <w:t>ISS, SMS, carbone, qualité, conformité, SST, continuité, actifs, énergie.</w:t>
            </w:r>
          </w:p>
        </w:tc>
      </w:tr>
      <w:tr>
        <w:tc>
          <w:tcPr>
            <w:tcW w:type="dxa" w:w="1474"/>
            <w:tcMar>
              <w:top w:w="40" w:type="dxa"/>
              <w:bottom w:w="40" w:type="dxa"/>
              <w:start w:w="80" w:type="dxa"/>
              <w:end w:w="80" w:type="dxa"/>
            </w:tcMar>
            <w:vAlign w:val="center"/>
          </w:tcPr>
          <w:p>
            <w:r>
              <w:rPr>
                <w:sz w:val="17"/>
              </w:rPr>
              <w:t>Exclusions</w:t>
            </w:r>
          </w:p>
        </w:tc>
        <w:tc>
          <w:tcPr>
            <w:tcW w:type="dxa" w:w="10715"/>
            <w:tcMar>
              <w:top w:w="40" w:type="dxa"/>
              <w:bottom w:w="40" w:type="dxa"/>
              <w:start w:w="80" w:type="dxa"/>
              <w:end w:w="80" w:type="dxa"/>
            </w:tcMar>
            <w:vAlign w:val="center"/>
          </w:tcPr>
          <w:p>
            <w:r>
              <w:rPr>
                <w:sz w:val="17"/>
              </w:rPr>
              <w:t>Conseil juridical opposé en justice (rôle humain), instruction des sanctions, certification de chiffre d'émissions, achat de crédits (rôles humains).</w:t>
            </w:r>
          </w:p>
        </w:tc>
      </w:tr>
    </w:tbl>
    <w:p>
      <w:pPr>
        <w:spacing w:after="40" w:before="0"/>
      </w:pPr>
      <w:r>
        <w:rPr>
          <w:b/>
          <w:i w:val="0"/>
          <w:sz w:val="22"/>
        </w:rPr>
        <w:t>Délimitation et justification (4.3.1)</w:t>
      </w:r>
    </w:p>
    <w:p>
      <w:pPr>
        <w:spacing w:after="40" w:before="0"/>
      </w:pPr>
      <w:r>
        <w:rPr>
          <w:b w:val="0"/>
          <w:i w:val="0"/>
          <w:sz w:val="18"/>
        </w:rPr>
        <w:t>Le système couvre l'ensemble des activités de gestion de l'aérodrome, car la corruption peut survenir à tous les niveaux : administration centrale, exploitation aéroportuaire, sécurité, caisses, études, maintenance, vente de terrains et services aux usagers. Aucune activité n'est exclue car chaque activité interagit avec les marchés publics, la sécurité et la relation avec les parties prenantes.</w:t>
      </w:r>
    </w:p>
    <w:p>
      <w:pPr>
        <w:spacing w:after="40" w:before="0"/>
      </w:pPr>
      <w:r>
        <w:rPr>
          <w:b/>
          <w:i w:val="0"/>
          <w:sz w:val="22"/>
        </w:rPr>
        <w:t>Délimitation interne</w:t>
      </w:r>
    </w:p>
    <w:p>
      <w:pPr>
        <w:spacing w:after="40" w:before="0"/>
      </w:pPr>
      <w:r>
        <w:rPr>
          <w:b w:val="0"/>
          <w:i w:val="0"/>
          <w:sz w:val="18"/>
        </w:rPr>
        <w:t>• Activité exclue : conseil juridique opposé en justice (rôle humain), instruction des sanctions, certification indépendante des chiffres d'émission, achat de crédits carbone.</w:t>
      </w:r>
    </w:p>
    <w:p>
      <w:pPr>
        <w:spacing w:after="40" w:before="0"/>
      </w:pPr>
      <w:r>
        <w:rPr>
          <w:b w:val="0"/>
          <w:i w:val="0"/>
          <w:sz w:val="18"/>
        </w:rPr>
        <w:t>• Activité partagée : l'agent ARCA prépare les dossiers, l'humain décide, valide, signe et fait appliquer.</w:t>
      </w:r>
    </w:p>
    <w:p>
      <w:pPr>
        <w:spacing w:after="80" w:before="120"/>
        <w:jc w:val="center"/>
      </w:pPr>
      <w:r>
        <w:rPr>
          <w:b w:val="0"/>
          <w:i/>
          <w:color w:val="808080"/>
          <w:sz w:val="18"/>
        </w:rPr>
        <w:t>— Fin de la fiche §4.3 —</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