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F3864"/>
          <w:sz w:val="28"/>
        </w:rPr>
        <w:t>SYSTÈME DE MANAGEMENT ANTI-CORRUPTION — ISO 37001:2025 §4.4</w:t>
      </w:r>
    </w:p>
    <w:p>
      <w:pPr>
        <w:spacing w:after="120" w:before="0"/>
      </w:pPr>
      <w:r>
        <w:rPr>
          <w:b w:val="0"/>
          <w:i w:val="0"/>
          <w:color w:val="555555"/>
          <w:sz w:val="18"/>
        </w:rPr>
        <w:t>Référence : MRA_PDC_03.0X | Version 1.0 | 22 octobre 2026 | ISO 37001:2025 — chapitre 4</w:t>
      </w:r>
    </w:p>
    <w:p>
      <w:pPr>
        <w:spacing w:after="80" w:before="0"/>
      </w:pPr>
      <w:r>
        <w:rPr>
          <w:b w:val="0"/>
          <w:i w:val="0"/>
          <w:sz w:val="18"/>
        </w:rPr>
        <w:t>Le SMAC est intégré au SM global d'AERIA. Il suit le cycle PDCA et est maintenu et amélioré continuellement.</w:t>
      </w:r>
    </w:p>
    <w:p>
      <w:pPr>
        <w:spacing w:after="40" w:before="0"/>
      </w:pPr>
      <w:r>
        <w:rPr>
          <w:b/>
          <w:i w:val="0"/>
          <w:sz w:val="22"/>
        </w:rPr>
        <w:t>Cycle PDCA du SMAC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175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Activité</w:t>
            </w:r>
          </w:p>
        </w:tc>
        <w:tc>
          <w:tcPr>
            <w:tcW w:type="dxa" w:w="3175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Livrable</w:t>
            </w:r>
          </w:p>
        </w:tc>
        <w:tc>
          <w:tcPr>
            <w:tcW w:type="dxa" w:w="1757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PLAN — Cadrage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Périmètre, enjeux, parties prenantes, référentiels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Note de cadrage (MRA_PDC_03.01)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Directeur Général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PLAN — Stratégie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Architecture, risques, dispositions de contrôle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Architecture doc + carte de risques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Architecture + Chef CR&amp;GR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PLAN — Ressources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Personnel, outils, formation, budget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Plan de resources, annuel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Stratégie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DO — Acter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Rédaction, ateliers, mise en œuvre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Corpus brouillon, PV ateliers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Agents + services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CHECK — Évaluer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Audit à blanc, vérification carbone, revue direction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Rapport audit + plan d'action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Vérificateur + Direction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ACT — Améliorer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Actions correctives, révision, actualisation</w:t>
            </w:r>
          </w:p>
        </w:tc>
        <w:tc>
          <w:tcPr>
            <w:tcW w:type="dxa" w:w="317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Mises à jour, notifications</w:t>
            </w:r>
          </w:p>
        </w:tc>
        <w:tc>
          <w:tcPr>
            <w:tcW w:type="dxa" w:w="175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Responsable QSE</w:t>
            </w:r>
          </w:p>
        </w:tc>
      </w:tr>
    </w:tbl>
    <w:p>
      <w:pPr>
        <w:spacing w:after="40" w:before="0"/>
      </w:pPr>
      <w:r>
        <w:rPr>
          <w:b/>
          <w:i w:val="0"/>
          <w:sz w:val="22"/>
        </w:rPr>
        <w:t>Structure du système (4.4.1)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361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Niveau</w:t>
            </w:r>
          </w:p>
        </w:tc>
        <w:tc>
          <w:tcPr>
            <w:tcW w:type="dxa" w:w="3061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Élément</w:t>
            </w:r>
          </w:p>
        </w:tc>
        <w:tc>
          <w:tcPr>
            <w:tcW w:type="dxa" w:w="2494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494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Preuve de validation</w:t>
            </w:r>
          </w:p>
        </w:tc>
      </w:tr>
      <w:tr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Direction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Comité de direction SMAC, charte, revue de direction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Directeur Général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PV réunion, présentation board</w:t>
            </w:r>
          </w:p>
        </w:tc>
      </w:tr>
      <w:tr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Pilotes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Responsable QSE, chefs départements, propriétaires doc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Chefs départements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Note de service, PV</w:t>
            </w:r>
          </w:p>
        </w:tc>
      </w:tr>
      <w:tr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Mise en œuvre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Agents, services, process owners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Chef de processus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Enregistrements, habilitations</w:t>
            </w:r>
          </w:p>
        </w:tc>
      </w:tr>
      <w:tr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Vérification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Audit interne, surveillance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Auditeur interne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Rapport audit, plan actions</w:t>
            </w:r>
          </w:p>
        </w:tc>
      </w:tr>
      <w:tr>
        <w:tc>
          <w:tcPr>
            <w:tcW w:type="dxa" w:w="13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Amélioration</w:t>
            </w:r>
          </w:p>
        </w:tc>
        <w:tc>
          <w:tcPr>
            <w:tcW w:type="dxa" w:w="3061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Actions correctives, révisions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Responsable QSE</w:t>
            </w:r>
          </w:p>
        </w:tc>
        <w:tc>
          <w:tcPr>
            <w:tcW w:type="dxa" w:w="2494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Plan d'actions clos</w:t>
            </w:r>
          </w:p>
        </w:tc>
      </w:tr>
    </w:tbl>
    <w:p>
      <w:pPr>
        <w:spacing w:after="40" w:before="0"/>
      </w:pPr>
      <w:r>
        <w:rPr>
          <w:b/>
          <w:i w:val="0"/>
          <w:sz w:val="22"/>
        </w:rPr>
        <w:t>Gouvernance et rôles (4.4.2)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Rôle</w:t>
            </w:r>
          </w:p>
        </w:tc>
        <w:tc>
          <w:tcPr>
            <w:tcW w:type="dxa" w:w="2948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Personne</w:t>
            </w:r>
          </w:p>
        </w:tc>
        <w:tc>
          <w:tcPr>
            <w:tcW w:type="dxa" w:w="5216"/>
            <w:shd w:val="clear" w:color="auto" w:fill="1F3864"/>
            <w:tcMar>
              <w:top w:w="20" w:type="dxa"/>
              <w:bottom w:w="2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Mission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Auteur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Agent ARCA (LLM pilôté)</w:t>
            </w:r>
          </w:p>
        </w:tc>
        <w:tc>
          <w:tcPr>
            <w:tcW w:type="dxa" w:w="521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Rédiger en brouillon, générer propositions, traçabilité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Propriétaire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Fonction anticorruption</w:t>
            </w:r>
          </w:p>
        </w:tc>
        <w:tc>
          <w:tcPr>
            <w:tcW w:type="dxa" w:w="52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Décision, validation, pilotage du corpus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Vérificateur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Chef département Conformité &amp; Gestion des Risques</w:t>
            </w:r>
          </w:p>
        </w:tc>
        <w:tc>
          <w:tcPr>
            <w:tcW w:type="dxa" w:w="521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Contrôle, validation, recette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Approbateur</w:t>
            </w:r>
          </w:p>
        </w:tc>
        <w:tc>
          <w:tcPr>
            <w:tcW w:type="dxa" w:w="29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Directeur Général</w:t>
            </w:r>
          </w:p>
        </w:tc>
        <w:tc>
          <w:tcPr>
            <w:tcW w:type="dxa" w:w="52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2F7FB"/>
            <w:vAlign w:val="center"/>
          </w:tcPr>
          <w:p>
            <w:r>
              <w:rPr>
                <w:sz w:val="16"/>
              </w:rPr>
              <w:t>Décision finale, signature, diffusion</w:t>
            </w:r>
          </w:p>
        </w:tc>
      </w:tr>
    </w:tbl>
    <w:p>
      <w:pPr>
        <w:spacing w:after="80" w:before="120"/>
        <w:jc w:val="center"/>
      </w:pPr>
      <w:r>
        <w:rPr>
          <w:b w:val="0"/>
          <w:i/>
          <w:color w:val="808080"/>
          <w:sz w:val="18"/>
        </w:rPr>
        <w:t>— Fin de la fiche §4.4 —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