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1F3864"/>
          <w:sz w:val="28"/>
        </w:rPr>
        <w:t>OUTILS ET GLOBIRE DÉFINITIFS — OUTILS SUPPORTEURS ISO 37001</w:t>
      </w:r>
    </w:p>
    <w:p>
      <w:pPr>
        <w:spacing w:after="120" w:before="0"/>
      </w:pPr>
      <w:r>
        <w:rPr>
          <w:b w:val="0"/>
          <w:i w:val="0"/>
          <w:color w:val="555555"/>
          <w:sz w:val="18"/>
        </w:rPr>
        <w:t>Référence : MRA_PDC_03.0X | Version 1.0 | 22 octobre 2026 | ISO 37001:2025 — chapitre 4</w:t>
      </w:r>
    </w:p>
    <w:p>
      <w:pPr>
        <w:spacing w:after="40" w:before="0"/>
      </w:pPr>
      <w:r>
        <w:rPr>
          <w:b/>
          <w:i w:val="0"/>
          <w:sz w:val="22"/>
        </w:rPr>
        <w:t>Glossaire des termes clés (4.4.2 / rapport de référence)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928"/>
            <w:shd w:val="clear" w:color="auto" w:fill="1F3864"/>
            <w:tcMar>
              <w:top w:w="20" w:type="dxa"/>
              <w:bottom w:w="2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Terme</w:t>
            </w:r>
          </w:p>
        </w:tc>
        <w:tc>
          <w:tcPr>
            <w:tcW w:type="dxa" w:w="10261"/>
            <w:shd w:val="clear" w:color="auto" w:fill="1F3864"/>
            <w:tcMar>
              <w:top w:w="20" w:type="dxa"/>
              <w:bottom w:w="2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Définition (ISO 37001:2025)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Anticorruption</w:t>
            </w:r>
          </w:p>
        </w:tc>
        <w:tc>
          <w:tcPr>
            <w:tcW w:type="dxa" w:w="10261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Comportement contraire à l'intégrité et aux règles d'une organisation ou d'un agent dans les relations avec tout autre agent ou organisme.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10261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Personne physique ou morale qui est en relation avec une autre organisation ou une autre personne.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Attesteur</w:t>
            </w:r>
          </w:p>
        </w:tc>
        <w:tc>
          <w:tcPr>
            <w:tcW w:type="dxa" w:w="10261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Personne qui déclare ou atteste une affaire, dans le cadre d'une procédure ou d'une enquête.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Convention de la La Havane</w:t>
            </w:r>
          </w:p>
        </w:tc>
        <w:tc>
          <w:tcPr>
            <w:tcW w:type="dxa" w:w="10261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Traité visant à prévenir, détecter et réprimer la corruption dans la publicité internationale.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Facteur d'émission</w:t>
            </w:r>
          </w:p>
        </w:tc>
        <w:tc>
          <w:tcPr>
            <w:tcW w:type="dxa" w:w="10261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Quantité de gaz à effet de serre émise, traitée comme un produit ou un service.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Soumission</w:t>
            </w:r>
          </w:p>
        </w:tc>
        <w:tc>
          <w:tcPr>
            <w:tcW w:type="dxa" w:w="10261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Offre ou proposition faite par un agent pour réaliser un travail ou un projet.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Intégrité</w:t>
            </w:r>
          </w:p>
        </w:tc>
        <w:tc>
          <w:tcPr>
            <w:tcW w:type="dxa" w:w="10261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Principe de transparence et de conformité aux règles.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Interstate</w:t>
            </w:r>
          </w:p>
        </w:tc>
        <w:tc>
          <w:tcPr>
            <w:tcW w:type="dxa" w:w="10261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Relation entre organisations ou personnes ayant des intérêts.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Risque de non-conformité</w:t>
            </w:r>
          </w:p>
        </w:tc>
        <w:tc>
          <w:tcPr>
            <w:tcW w:type="dxa" w:w="10261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Probabilité qu'une obligation ne soit pas respectée.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Traçabilité</w:t>
            </w:r>
          </w:p>
        </w:tc>
        <w:tc>
          <w:tcPr>
            <w:tcW w:type="dxa" w:w="10261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Capacité à retrouver la provenance et l'historique d'une donnée ou d'un document.</w:t>
            </w:r>
          </w:p>
        </w:tc>
      </w:tr>
    </w:tbl>
    <w:p>
      <w:pPr>
        <w:spacing w:after="40" w:before="0"/>
      </w:pPr>
      <w:r>
        <w:rPr>
          <w:b/>
          <w:i w:val="0"/>
          <w:sz w:val="22"/>
        </w:rPr>
        <w:t>Référentiels d'outils (tool norms) mobilisés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551"/>
            <w:shd w:val="clear" w:color="auto" w:fill="1F3864"/>
            <w:tcMar>
              <w:top w:w="20" w:type="dxa"/>
              <w:bottom w:w="2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Norme / programme</w:t>
            </w:r>
          </w:p>
        </w:tc>
        <w:tc>
          <w:tcPr>
            <w:tcW w:type="dxa" w:w="9638"/>
            <w:shd w:val="clear" w:color="auto" w:fill="1F3864"/>
            <w:tcMar>
              <w:top w:w="20" w:type="dxa"/>
              <w:bottom w:w="2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Rôle dans le SMAC</w:t>
            </w:r>
          </w:p>
        </w:tc>
      </w:tr>
      <w:tr>
        <w:tc>
          <w:tcPr>
            <w:tcW w:type="dxa" w:w="2551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ISO 37001:2025</w:t>
            </w:r>
          </w:p>
        </w:tc>
        <w:tc>
          <w:tcPr>
            <w:tcW w:type="dxa" w:w="9638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Norme de base — ISMC</w:t>
            </w:r>
          </w:p>
        </w:tc>
      </w:tr>
      <w:tr>
        <w:tc>
          <w:tcPr>
            <w:tcW w:type="dxa" w:w="2551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ISO 37301</w:t>
            </w:r>
          </w:p>
        </w:tc>
        <w:tc>
          <w:tcPr>
            <w:tcW w:type="dxa" w:w="963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Norme de conformité — attireté le management</w:t>
            </w:r>
          </w:p>
        </w:tc>
      </w:tr>
      <w:tr>
        <w:tc>
          <w:tcPr>
            <w:tcW w:type="dxa" w:w="2551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ISO 9001 / 14001 / 45001 / 55001 / 50001 / 22301</w:t>
            </w:r>
          </w:p>
        </w:tc>
        <w:tc>
          <w:tcPr>
            <w:tcW w:type="dxa" w:w="9638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Systèmes de management intégrés</w:t>
            </w:r>
          </w:p>
        </w:tc>
      </w:tr>
      <w:tr>
        <w:tc>
          <w:tcPr>
            <w:tcW w:type="dxa" w:w="2551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ISO 19011, ISO 31000</w:t>
            </w:r>
          </w:p>
        </w:tc>
        <w:tc>
          <w:tcPr>
            <w:tcW w:type="dxa" w:w="963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Audit et gestion des risques</w:t>
            </w:r>
          </w:p>
        </w:tc>
      </w:tr>
      <w:tr>
        <w:tc>
          <w:tcPr>
            <w:tcW w:type="dxa" w:w="2551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AFA recommandations</w:t>
            </w:r>
          </w:p>
        </w:tc>
        <w:tc>
          <w:tcPr>
            <w:tcW w:type="dxa" w:w="9638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Certificat anticorruption</w:t>
            </w:r>
          </w:p>
        </w:tc>
      </w:tr>
      <w:tr>
        <w:tc>
          <w:tcPr>
            <w:tcW w:type="dxa" w:w="2551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ACA niveaux 1–5</w:t>
            </w:r>
          </w:p>
        </w:tc>
        <w:tc>
          <w:tcPr>
            <w:tcW w:type="dxa" w:w="963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Airport Carbon Accreditation</w:t>
            </w:r>
          </w:p>
        </w:tc>
      </w:tr>
      <w:tr>
        <w:tc>
          <w:tcPr>
            <w:tcW w:type="dxa" w:w="2551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OACI Annexes 14/19, Docs 9859, 9774</w:t>
            </w:r>
          </w:p>
        </w:tc>
        <w:tc>
          <w:tcPr>
            <w:tcW w:type="dxa" w:w="9638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Cadre aéronautique</w:t>
            </w:r>
          </w:p>
        </w:tc>
      </w:tr>
      <w:tr>
        <w:tc>
          <w:tcPr>
            <w:tcW w:type="dxa" w:w="2551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Loi Sapin II (art. 17) / ONU</w:t>
            </w:r>
          </w:p>
        </w:tc>
        <w:tc>
          <w:tcPr>
            <w:tcW w:type="dxa" w:w="963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Cadre juridique international</w:t>
            </w:r>
          </w:p>
        </w:tc>
      </w:tr>
    </w:tbl>
    <w:p>
      <w:pPr>
        <w:spacing w:after="80" w:before="120"/>
        <w:jc w:val="center"/>
      </w:pPr>
      <w:r>
        <w:rPr>
          <w:b w:val="0"/>
          <w:i/>
          <w:color w:val="808080"/>
          <w:sz w:val="18"/>
        </w:rPr>
        <w:t>— Fin de la fiche outils —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