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right"/>
      </w:pPr>
      <w:r>
        <w:rPr>
          <w:rFonts w:ascii="Arial" w:cs="Arial" w:eastAsia="Arial" w:hAnsi="Arial"/>
          <w:b/>
          <w:bCs/>
          <w:color w:val="6B7280"/>
          <w:sz w:val="18"/>
          <w:szCs w:val="18"/>
        </w:rPr>
        <w:t xml:space="preserve">CONFIDENTIEL — USAGE INTERNE</w:t>
      </w:r>
    </w:p>
    <w:p>
      <w:pPr>
        <w:spacing w:after="40"/>
      </w:pPr>
      <w:r>
        <w:rPr>
          <w:rFonts w:ascii="Arial" w:cs="Arial" w:eastAsia="Arial" w:hAnsi="Arial"/>
        </w:rPr>
        <w:t xml:space="preserve"/>
      </w:r>
    </w:p>
    <w:p>
      <w:pPr>
        <w:spacing w:after="40"/>
      </w:pPr>
      <w:r>
        <w:rPr>
          <w:rFonts w:ascii="Arial" w:cs="Arial" w:eastAsia="Arial" w:hAnsi="Arial"/>
        </w:rPr>
        <w:t xml:space="preserve"/>
      </w:r>
    </w:p>
    <w:p>
      <w:pPr>
        <w:spacing w:after="40"/>
      </w:pPr>
      <w:r>
        <w:rPr>
          <w:rFonts w:ascii="Arial" w:cs="Arial" w:eastAsia="Arial" w:hAnsi="Arial"/>
        </w:rPr>
        <w:t xml:space="preserve"/>
      </w:r>
    </w:p>
    <w:p>
      <w:pPr>
        <w:spacing w:after="80"/>
        <w:jc w:val="center"/>
      </w:pPr>
      <w:r>
        <w:rPr>
          <w:rFonts w:ascii="Arial" w:cs="Arial" w:eastAsia="Arial" w:hAnsi="Arial"/>
          <w:b/>
          <w:bCs/>
          <w:color w:val="00853E"/>
          <w:sz w:val="72"/>
          <w:szCs w:val="72"/>
        </w:rPr>
        <w:t xml:space="preserve">NEXUS MARKET</w:t>
      </w:r>
    </w:p>
    <w:p>
      <w:pPr>
        <w:spacing w:after="120"/>
        <w:jc w:val="center"/>
      </w:pPr>
      <w:r>
        <w:rPr>
          <w:rFonts w:ascii="Arial" w:cs="Arial" w:eastAsia="Arial" w:hAnsi="Arial"/>
          <w:b/>
          <w:bCs/>
          <w:color w:val="1F2937"/>
          <w:sz w:val="40"/>
          <w:szCs w:val="40"/>
        </w:rPr>
        <w:t xml:space="preserve">Business Plan 2025 – 2027</w:t>
      </w:r>
    </w:p>
    <w:p>
      <w:pPr>
        <w:spacing w:after="60"/>
        <w:jc w:val="center"/>
      </w:pPr>
      <w:r>
        <w:rPr>
          <w:rFonts w:ascii="Arial" w:cs="Arial" w:eastAsia="Arial" w:hAnsi="Arial"/>
          <w:i/>
          <w:iCs/>
          <w:color w:val="6B7280"/>
          <w:sz w:val="24"/>
          <w:szCs w:val="24"/>
        </w:rPr>
        <w:t xml:space="preserve">Version Révisée v3 — Intégration de l’Analyse Stratégique</w:t>
      </w:r>
    </w:p>
    <w:p>
      <w:pPr>
        <w:spacing w:after="400"/>
        <w:jc w:val="center"/>
      </w:pPr>
      <w:r>
        <w:rPr>
          <w:rFonts w:ascii="Arial" w:cs="Arial" w:eastAsia="Arial" w:hAnsi="Arial"/>
          <w:b/>
          <w:bCs/>
          <w:color w:val="00853E"/>
          <w:sz w:val="22"/>
          <w:szCs w:val="22"/>
        </w:rPr>
        <w:t xml:space="preserve">OODA · SWOT · Red Team · Pré-Mortem</w:t>
      </w:r>
    </w:p>
    <w:p>
      <w:pPr>
        <w:spacing w:after="80"/>
        <w:jc w:val="center"/>
      </w:pPr>
      <w:r>
        <w:rPr>
          <w:rFonts w:ascii="Arial" w:cs="Arial" w:eastAsia="Arial" w:hAnsi="Arial"/>
          <w:color w:val="1F2937"/>
          <w:sz w:val="24"/>
          <w:szCs w:val="24"/>
        </w:rPr>
        <w:t xml:space="preserve">Marketplace de commerce sécurisé — Sénégal &amp; Afrique de l’Ouest</w:t>
      </w:r>
    </w:p>
    <w:p>
      <w:pPr>
        <w:spacing w:after="500"/>
        <w:jc w:val="center"/>
      </w:pPr>
      <w:r>
        <w:rPr>
          <w:rFonts w:ascii="Arial" w:cs="Arial" w:eastAsia="Arial" w:hAnsi="Arial"/>
          <w:color w:val="6B7280"/>
          <w:sz w:val="20"/>
          <w:szCs w:val="20"/>
        </w:rPr>
        <w:t xml:space="preserve">Stratégie de croissance · Monétisation · Mécanismes passifs · Plan de bataille</w:t>
      </w:r>
    </w:p>
    <w:p>
      <w:pPr>
        <w:spacing w:after="40"/>
      </w:pPr>
      <w:r>
        <w:rPr>
          <w:rFonts w:ascii="Arial" w:cs="Arial" w:eastAsia="Arial" w:hAnsi="Arial"/>
        </w:rPr>
        <w:t xml:space="preserve"/>
      </w:r>
    </w:p>
    <w:p>
      <w:pPr>
        <w:spacing w:after="40"/>
      </w:pPr>
      <w:r>
        <w:rPr>
          <w:rFonts w:ascii="Arial" w:cs="Arial" w:eastAsia="Arial" w:hAnsi="Arial"/>
        </w:rPr>
        <w:t xml:space="preserve"/>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2256"/>
        <w:gridCol w:w="2256"/>
        <w:gridCol w:w="2257"/>
        <w:gridCol w:w="2257"/>
      </w:tblGrid>
      <w:tr>
        <w:trPr>
          <w:tblHeader/>
        </w:trPr>
        <w:tc>
          <w:tcPr>
            <w:tcW w:type="dxa" w:w="225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Porteur de projet</w:t>
            </w:r>
          </w:p>
        </w:tc>
        <w:tc>
          <w:tcPr>
            <w:tcW w:type="dxa" w:w="225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Équipe</w:t>
            </w:r>
          </w:p>
        </w:tc>
        <w:tc>
          <w:tcPr>
            <w:tcW w:type="dxa" w:w="2257"/>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Stade</w:t>
            </w:r>
          </w:p>
        </w:tc>
        <w:tc>
          <w:tcPr>
            <w:tcW w:type="dxa" w:w="2257"/>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Marché cible</w:t>
            </w:r>
          </w:p>
        </w:tc>
      </w:tr>
      <w:tr>
        <w:tc>
          <w:tcPr>
            <w:tcW w:type="dxa" w:w="225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NEXUS Market SN</w:t>
            </w:r>
          </w:p>
        </w:tc>
        <w:tc>
          <w:tcPr>
            <w:tcW w:type="dxa" w:w="225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 fondateur (solo)</w:t>
            </w:r>
          </w:p>
        </w:tc>
        <w:tc>
          <w:tcPr>
            <w:tcW w:type="dxa" w:w="2257"/>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MVP en production</w:t>
            </w:r>
          </w:p>
        </w:tc>
        <w:tc>
          <w:tcPr>
            <w:tcW w:type="dxa" w:w="2257"/>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Sénégal → CEDEAO</w:t>
            </w:r>
          </w:p>
        </w:tc>
      </w:tr>
      <w:tr>
        <w:tc>
          <w:tcPr>
            <w:tcW w:type="dxa" w:w="2256"/>
            <w:shd w:fill="F3F6F4" w:val="clear"/>
            <w:tcMar>
              <w:top w:type="dxa" w:w="60"/>
              <w:left w:type="dxa" w:w="110"/>
              <w:bottom w:type="dxa" w:w="60"/>
              <w:right w:type="dxa" w:w="110"/>
            </w:tcMar>
            <w:vAlign w:val="center"/>
          </w:tcPr>
          <w:p>
            <w:pPr>
              <w:spacing w:line="252"/>
            </w:pPr>
            <w:r>
              <w:rPr>
                <w:rFonts w:ascii="Arial" w:cs="Arial" w:eastAsia="Arial" w:hAnsi="Arial"/>
                <w:color w:val="00853E"/>
                <w:sz w:val="17"/>
                <w:szCs w:val="17"/>
              </w:rPr>
              <w:t xml:space="preserve">nexus-market-asb.pages.dev</w:t>
            </w:r>
          </w:p>
        </w:tc>
        <w:tc>
          <w:tcPr>
            <w:tcW w:type="dxa" w:w="225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Dev-fondateur</w:t>
            </w:r>
          </w:p>
        </w:tc>
        <w:tc>
          <w:tcPr>
            <w:tcW w:type="dxa" w:w="2257"/>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Version 3.2.0</w:t>
            </w:r>
          </w:p>
        </w:tc>
        <w:tc>
          <w:tcPr>
            <w:tcW w:type="dxa" w:w="2257"/>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Dakar &amp; régions</w:t>
            </w:r>
          </w:p>
        </w:tc>
      </w:tr>
    </w:tbl>
    <w:p>
      <w:pPr>
        <w:spacing w:before="500"/>
        <w:jc w:val="center"/>
      </w:pPr>
      <w:r>
        <w:rPr>
          <w:rFonts w:ascii="Arial" w:cs="Arial" w:eastAsia="Arial" w:hAnsi="Arial"/>
          <w:i/>
          <w:iCs/>
          <w:color w:val="6B7280"/>
          <w:sz w:val="18"/>
          <w:szCs w:val="18"/>
        </w:rPr>
        <w:t xml:space="preserve">Document de travail stratégique — Juin 2025</w:t>
      </w:r>
    </w:p>
    <w:p>
      <w:pPr>
        <w:pStyle w:val="Heading1"/>
        <w:pageBreakBefore/>
        <w:spacing w:after="160"/>
      </w:pPr>
      <w:r>
        <w:rPr>
          <w:rFonts w:ascii="Arial" w:cs="Arial" w:eastAsia="Arial" w:hAnsi="Arial"/>
          <w:b/>
          <w:bCs/>
          <w:color w:val="00853E"/>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pStyle w:val="Heading1"/>
        <w:pageBreakBefore/>
        <w:spacing w:after="160" w:before="320"/>
      </w:pPr>
      <w:r>
        <w:rPr>
          <w:rFonts w:ascii="Arial" w:cs="Arial" w:eastAsia="Arial" w:hAnsi="Arial"/>
          <w:b/>
          <w:bCs/>
          <w:color w:val="00853E"/>
          <w:sz w:val="30"/>
          <w:szCs w:val="30"/>
        </w:rPr>
        <w:t xml:space="preserve">1. Résumé exécutif — NEXUS Market en 5 minutes</w:t>
      </w:r>
    </w:p>
    <w:p>
      <w:pPr>
        <w:spacing w:after="120" w:line="276"/>
      </w:pPr>
      <w:r>
        <w:rPr>
          <w:rFonts w:ascii="Arial" w:cs="Arial" w:eastAsia="Arial" w:hAnsi="Arial"/>
        </w:rPr>
        <w:t xml:space="preserve">NEXUS Market est une marketplace B2B/B2C 100 % sénégalaise, conçue pour le marché ouest-africain dès sa première ligne de code. La plateforme est </w:t>
      </w:r>
      <w:r>
        <w:rPr>
          <w:rFonts w:ascii="Arial" w:cs="Arial" w:eastAsia="Arial" w:hAnsi="Arial"/>
          <w:b/>
          <w:bCs/>
        </w:rPr>
        <w:t xml:space="preserve">déjà en production</w:t>
      </w:r>
      <w:r>
        <w:rPr>
          <w:rFonts w:ascii="Arial" w:cs="Arial" w:eastAsia="Arial" w:hAnsi="Arial"/>
        </w:rPr>
        <w:t xml:space="preserve"> à l’adresse nexus-market-asb.pages.dev (version 3.2.0) : paiements Orange Money, Wave, Stripe et PayTech, interface en Wolof, annonces express sans inscription, programme ambassadeur avec cashback, protection acheteur avec médiation sous 24 h, tableau de bord vendeur avancé et fidélité à 4 niveaux.</w:t>
      </w:r>
    </w:p>
    <w:tbl>
      <w:tblPr>
        <w:tblW w:type="dxa" w:w="9026"/>
        <w:tblBorders>
          <w:top w:val="single" w:color="E3F2EA" w:sz="1"/>
          <w:left w:val="single" w:color="00853E" w:sz="18"/>
          <w:bottom w:val="single" w:color="E3F2EA" w:sz="1"/>
          <w:right w:val="single" w:color="E3F2EA" w:sz="1"/>
          <w:insideH w:val="single" w:color="auto" w:sz="4"/>
          <w:insideV w:val="single" w:color="auto" w:sz="4"/>
        </w:tblBorders>
      </w:tblPr>
      <w:tblGrid>
        <w:gridCol w:w="9026"/>
      </w:tblGrid>
      <w:tr>
        <w:tc>
          <w:tcPr>
            <w:shd w:fill="E3F2EA" w:val="clear"/>
            <w:tcMar>
              <w:top w:type="dxa" w:w="120"/>
              <w:left w:type="dxa" w:w="200"/>
              <w:bottom w:type="dxa" w:w="120"/>
              <w:right w:type="dxa" w:w="160"/>
            </w:tcMar>
          </w:tcPr>
          <w:p>
            <w:pPr>
              <w:spacing w:after="80"/>
            </w:pPr>
            <w:r>
              <w:rPr>
                <w:rFonts w:ascii="Arial" w:cs="Arial" w:eastAsia="Arial" w:hAnsi="Arial"/>
                <w:b/>
                <w:bCs/>
                <w:color w:val="00853E"/>
                <w:sz w:val="22"/>
                <w:szCs w:val="22"/>
              </w:rPr>
              <w:t xml:space="preserve">Thèse centrale</w:t>
            </w:r>
          </w:p>
          <w:p>
            <w:pPr>
              <w:spacing w:after="60" w:line="264"/>
            </w:pPr>
            <w:r>
              <w:rPr>
                <w:rFonts w:ascii="Arial" w:cs="Arial" w:eastAsia="Arial" w:hAnsi="Arial"/>
                <w:sz w:val="21"/>
                <w:szCs w:val="21"/>
              </w:rPr>
              <w:t xml:space="preserve">Nous ne pouvons pas battre Jiji sur le volume aujourd’hui. Mais nous pouvons les battre sur la confiance, l’ancrage local, la protection des transactions et les langues locales — des axes durables qui ne nécessitent pas de budget publicitaire massif.</w:t>
            </w:r>
          </w:p>
        </w:tc>
      </w:tr>
    </w:tbl>
    <w:p>
      <w:pPr>
        <w:pStyle w:val="Heading2"/>
        <w:spacing w:after="120" w:before="240"/>
      </w:pPr>
      <w:r>
        <w:rPr>
          <w:rFonts w:ascii="Arial" w:cs="Arial" w:eastAsia="Arial" w:hAnsi="Arial"/>
          <w:b/>
          <w:bCs/>
          <w:color w:val="1F2937"/>
          <w:sz w:val="25"/>
          <w:szCs w:val="25"/>
        </w:rPr>
        <w:t xml:space="preserve">Ce qui change dans cette version v3</w:t>
      </w:r>
    </w:p>
    <w:p>
      <w:pPr>
        <w:spacing w:after="120" w:line="276"/>
      </w:pPr>
      <w:r>
        <w:rPr>
          <w:rFonts w:ascii="Arial" w:cs="Arial" w:eastAsia="Arial" w:hAnsi="Arial"/>
        </w:rPr>
        <w:t xml:space="preserve">Cette révision intègre les conclusions d’une analyse stratégique complète (OODA, SWOT, Red Team, Pré-Mortem). Trois décisions existentielles sont désormais placées </w:t>
      </w:r>
      <w:r>
        <w:rPr>
          <w:rFonts w:ascii="Arial" w:cs="Arial" w:eastAsia="Arial" w:hAnsi="Arial"/>
          <w:i/>
          <w:iCs/>
        </w:rPr>
        <w:t xml:space="preserve">avant</w:t>
      </w:r>
      <w:r>
        <w:rPr>
          <w:rFonts w:ascii="Arial" w:cs="Arial" w:eastAsia="Arial" w:hAnsi="Arial"/>
        </w:rPr>
        <w:t xml:space="preserve"> toute autre priorité :</w:t>
      </w:r>
    </w:p>
    <w:p>
      <w:pPr>
        <w:pStyle w:val="ListParagraph"/>
        <w:numPr>
          <w:ilvl w:val="0"/>
          <w:numId w:val="2"/>
        </w:numPr>
        <w:spacing w:after="80" w:line="270"/>
      </w:pPr>
      <w:r>
        <w:rPr>
          <w:rFonts w:ascii="Arial" w:cs="Arial" w:eastAsia="Arial" w:hAnsi="Arial"/>
          <w:b/>
          <w:bCs/>
        </w:rPr>
        <w:t xml:space="preserve">Commission progressive, pas 15 % au jour 1.</w:t>
      </w:r>
      <w:r>
        <w:rPr>
          <w:rFonts w:ascii="Arial" w:cs="Arial" w:eastAsia="Arial" w:hAnsi="Arial"/>
        </w:rPr>
        <w:t xml:space="preserve"> 0 % pendant 90 jours, puis 5 % → 10 % → 13-15 % — pour réduire la friction d’adoption et empêcher la fuite vers WhatsApp (risque RT-01 / PM-01).</w:t>
      </w:r>
    </w:p>
    <w:p>
      <w:pPr>
        <w:pStyle w:val="ListParagraph"/>
        <w:numPr>
          <w:ilvl w:val="0"/>
          <w:numId w:val="2"/>
        </w:numPr>
        <w:spacing w:after="80" w:line="270"/>
      </w:pPr>
      <w:r>
        <w:rPr>
          <w:rFonts w:ascii="Arial" w:cs="Arial" w:eastAsia="Arial" w:hAnsi="Arial"/>
          <w:b/>
          <w:bCs/>
        </w:rPr>
        <w:t xml:space="preserve">Une stratégie d’acquisition ACHETEURS symétrique.</w:t>
      </w:r>
      <w:r>
        <w:rPr>
          <w:rFonts w:ascii="Arial" w:cs="Arial" w:eastAsia="Arial" w:hAnsi="Arial"/>
        </w:rPr>
        <w:t xml:space="preserve"> Sans trafic acheteur, les vendeurs partent. Programme « Premier achat garanti », newsletter hebdo, fidélité (risque RT-02 / PM-01).</w:t>
      </w:r>
    </w:p>
    <w:p>
      <w:pPr>
        <w:pStyle w:val="ListParagraph"/>
        <w:numPr>
          <w:ilvl w:val="0"/>
          <w:numId w:val="2"/>
        </w:numPr>
        <w:spacing w:after="80" w:line="270"/>
      </w:pPr>
      <w:r>
        <w:rPr>
          <w:rFonts w:ascii="Arial" w:cs="Arial" w:eastAsia="Arial" w:hAnsi="Arial"/>
          <w:b/>
          <w:bCs/>
        </w:rPr>
        <w:t xml:space="preserve">Désamorcer le bus factor solo.</w:t>
      </w:r>
      <w:r>
        <w:rPr>
          <w:rFonts w:ascii="Arial" w:cs="Arial" w:eastAsia="Arial" w:hAnsi="Arial"/>
        </w:rPr>
        <w:t xml:space="preserve"> Recruter un appui (stagiaire CESAG/ISM) dès le Mois 2, automatiser 80 % du support, plafonner la charge à 6 h/jour (risque RT-03 / PM-02).</w:t>
      </w:r>
    </w:p>
    <w:p>
      <w:pPr>
        <w:pStyle w:val="Heading2"/>
        <w:spacing w:after="120" w:before="240"/>
      </w:pPr>
      <w:r>
        <w:rPr>
          <w:rFonts w:ascii="Arial" w:cs="Arial" w:eastAsia="Arial" w:hAnsi="Arial"/>
          <w:b/>
          <w:bCs/>
          <w:color w:val="1F2937"/>
          <w:sz w:val="25"/>
          <w:szCs w:val="25"/>
        </w:rPr>
        <w:t xml:space="preserve">Proposition de valeur par segment</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2100"/>
        <w:gridCol w:w="6926"/>
      </w:tblGrid>
      <w:tr>
        <w:trPr>
          <w:tblHeader/>
        </w:trPr>
        <w:tc>
          <w:tcPr>
            <w:tcW w:type="dxa" w:w="21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Segment</w:t>
            </w:r>
          </w:p>
        </w:tc>
        <w:tc>
          <w:tcPr>
            <w:tcW w:type="dxa" w:w="69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Valeur apportée</w:t>
            </w:r>
          </w:p>
        </w:tc>
      </w:tr>
      <w:tr>
        <w:tc>
          <w:tcPr>
            <w:tcW w:type="dxa" w:w="21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Acheteurs</w:t>
            </w:r>
          </w:p>
        </w:tc>
        <w:tc>
          <w:tcPr>
            <w:tcW w:type="dxa" w:w="69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Protection escrow + médiation litiges 24 h + fidélité Bronze-Platine + annonces vérifiées</w:t>
            </w:r>
          </w:p>
        </w:tc>
      </w:tr>
      <w:tr>
        <w:tc>
          <w:tcPr>
            <w:tcW w:type="dxa" w:w="21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Vendeurs</w:t>
            </w:r>
          </w:p>
        </w:tc>
        <w:tc>
          <w:tcPr>
            <w:tcW w:type="dxa" w:w="69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Dashboard analytique + import CSV en masse + commission réduite via parrainage + scraper IA</w:t>
            </w:r>
          </w:p>
        </w:tc>
      </w:tr>
      <w:tr>
        <w:tc>
          <w:tcPr>
            <w:tcW w:type="dxa" w:w="21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Non-alphabétisés</w:t>
            </w:r>
          </w:p>
        </w:tc>
        <w:tc>
          <w:tcPr>
            <w:tcW w:type="dxa" w:w="69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Annonces Express : photo + prix + WhatsApp en 2 min, sans créer de compte</w:t>
            </w:r>
          </w:p>
        </w:tc>
      </w:tr>
      <w:tr>
        <w:tc>
          <w:tcPr>
            <w:tcW w:type="dxa" w:w="21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Pros B2B</w:t>
            </w:r>
          </w:p>
        </w:tc>
        <w:tc>
          <w:tcPr>
            <w:tcW w:type="dxa" w:w="69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Compte buyer_pro : remises volume + factures NINEA/RCCM + devis automatisés</w:t>
            </w:r>
          </w:p>
        </w:tc>
      </w:tr>
      <w:tr>
        <w:tc>
          <w:tcPr>
            <w:tcW w:type="dxa" w:w="21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Diaspora &amp; Afrique</w:t>
            </w:r>
          </w:p>
        </w:tc>
        <w:tc>
          <w:tcPr>
            <w:tcW w:type="dxa" w:w="69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Interface Wolof/Français/Anglais, paiement Wave/Orange Money, optimisé 3G</w:t>
            </w:r>
          </w:p>
        </w:tc>
      </w:tr>
    </w:tbl>
    <w:p>
      <w:pPr>
        <w:pStyle w:val="Heading1"/>
        <w:pageBreakBefore/>
        <w:spacing w:after="160" w:before="320"/>
      </w:pPr>
      <w:r>
        <w:rPr>
          <w:rFonts w:ascii="Arial" w:cs="Arial" w:eastAsia="Arial" w:hAnsi="Arial"/>
          <w:b/>
          <w:bCs/>
          <w:color w:val="00853E"/>
          <w:sz w:val="30"/>
          <w:szCs w:val="30"/>
        </w:rPr>
        <w:t xml:space="preserve">2. Diagnostic honnête &amp; synthèse de l’analyse stratégique</w:t>
      </w:r>
    </w:p>
    <w:p>
      <w:pPr>
        <w:spacing w:after="120" w:line="276"/>
      </w:pPr>
      <w:r>
        <w:rPr>
          <w:rFonts w:ascii="Arial" w:cs="Arial" w:eastAsia="Arial" w:hAnsi="Arial"/>
        </w:rPr>
        <w:t xml:space="preserve">Avant toute stratégie, regarder la réalité en face. NEXUS dispose d’une base technique exceptionnelle pour un projet solo — une application intégrant ce que beaucoup de startups mettent 2 ans à construire. Mais la technique ne suffit pas : la faiblesse critique n’est pas le code, c’est l’absence de validation marché.</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2300"/>
        <w:gridCol w:w="5326"/>
        <w:gridCol w:w="1400"/>
      </w:tblGrid>
      <w:tr>
        <w:trPr>
          <w:tblHeader/>
        </w:trPr>
        <w:tc>
          <w:tcPr>
            <w:tcW w:type="dxa" w:w="23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Dimension</w:t>
            </w:r>
          </w:p>
        </w:tc>
        <w:tc>
          <w:tcPr>
            <w:tcW w:type="dxa" w:w="53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Statut actuel</w:t>
            </w:r>
          </w:p>
        </w:tc>
        <w:tc>
          <w:tcPr>
            <w:tcW w:type="dxa" w:w="14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Priorité</w:t>
            </w:r>
          </w:p>
        </w:tc>
      </w:tr>
      <w:tr>
        <w:tc>
          <w:tcPr>
            <w:tcW w:type="dxa" w:w="23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Base technique</w:t>
            </w:r>
          </w:p>
        </w:tc>
        <w:tc>
          <w:tcPr>
            <w:tcW w:type="dxa" w:w="53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EXCELLENT — PWA, Supabase, Groq IA, Push VAPID, OAuth, Wolof</w:t>
            </w:r>
          </w:p>
        </w:tc>
        <w:tc>
          <w:tcPr>
            <w:tcW w:type="dxa" w:w="1400"/>
            <w:shd w:fill="FFFFFF" w:val="clear"/>
            <w:tcMar>
              <w:top w:type="dxa" w:w="60"/>
              <w:left w:type="dxa" w:w="110"/>
              <w:bottom w:type="dxa" w:w="60"/>
              <w:right w:type="dxa" w:w="110"/>
            </w:tcMar>
            <w:vAlign w:val="center"/>
          </w:tcPr>
          <w:p>
            <w:pPr>
              <w:spacing w:line="252"/>
            </w:pPr>
            <w:r>
              <w:rPr>
                <w:rFonts w:ascii="Arial" w:cs="Arial" w:eastAsia="Arial" w:hAnsi="Arial"/>
                <w:b/>
                <w:bCs/>
                <w:color w:val="00853E"/>
              </w:rPr>
              <w:t xml:space="preserve">Solide</w:t>
            </w:r>
          </w:p>
        </w:tc>
      </w:tr>
      <w:tr>
        <w:tc>
          <w:tcPr>
            <w:tcW w:type="dxa" w:w="23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Fonctionnalités</w:t>
            </w:r>
          </w:p>
        </w:tc>
        <w:tc>
          <w:tcPr>
            <w:tcW w:type="dxa" w:w="53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COMPLET — 40+ features (paiements, litiges, dashboards, import)</w:t>
            </w:r>
          </w:p>
        </w:tc>
        <w:tc>
          <w:tcPr>
            <w:tcW w:type="dxa" w:w="1400"/>
            <w:shd w:fill="F3F6F4" w:val="clear"/>
            <w:tcMar>
              <w:top w:type="dxa" w:w="60"/>
              <w:left w:type="dxa" w:w="110"/>
              <w:bottom w:type="dxa" w:w="60"/>
              <w:right w:type="dxa" w:w="110"/>
            </w:tcMar>
            <w:vAlign w:val="center"/>
          </w:tcPr>
          <w:p>
            <w:pPr>
              <w:spacing w:line="252"/>
            </w:pPr>
            <w:r>
              <w:rPr>
                <w:rFonts w:ascii="Arial" w:cs="Arial" w:eastAsia="Arial" w:hAnsi="Arial"/>
                <w:b/>
                <w:bCs/>
                <w:color w:val="00853E"/>
              </w:rPr>
              <w:t xml:space="preserve">Solide</w:t>
            </w:r>
          </w:p>
        </w:tc>
      </w:tr>
      <w:tr>
        <w:tc>
          <w:tcPr>
            <w:tcW w:type="dxa" w:w="23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Utilisateurs actifs</w:t>
            </w:r>
          </w:p>
        </w:tc>
        <w:tc>
          <w:tcPr>
            <w:tcW w:type="dxa" w:w="53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INCONNU — en production mais aucune métrique validée</w:t>
            </w:r>
          </w:p>
        </w:tc>
        <w:tc>
          <w:tcPr>
            <w:tcW w:type="dxa" w:w="1400"/>
            <w:shd w:fill="FFFFFF" w:val="clear"/>
            <w:tcMar>
              <w:top w:type="dxa" w:w="60"/>
              <w:left w:type="dxa" w:w="110"/>
              <w:bottom w:type="dxa" w:w="60"/>
              <w:right w:type="dxa" w:w="110"/>
            </w:tcMar>
            <w:vAlign w:val="center"/>
          </w:tcPr>
          <w:p>
            <w:pPr>
              <w:spacing w:line="252"/>
            </w:pPr>
            <w:r>
              <w:rPr>
                <w:rFonts w:ascii="Arial" w:cs="Arial" w:eastAsia="Arial" w:hAnsi="Arial"/>
                <w:b/>
                <w:bCs/>
                <w:color w:val="C0392B"/>
              </w:rPr>
              <w:t xml:space="preserve">Critique</w:t>
            </w:r>
          </w:p>
        </w:tc>
      </w:tr>
      <w:tr>
        <w:tc>
          <w:tcPr>
            <w:tcW w:type="dxa" w:w="23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Notoriété / SEO</w:t>
            </w:r>
          </w:p>
        </w:tc>
        <w:tc>
          <w:tcPr>
            <w:tcW w:type="dxa" w:w="53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FAIBLE — présence à construire (chantier SEO lancé, cf. §12)</w:t>
            </w:r>
          </w:p>
        </w:tc>
        <w:tc>
          <w:tcPr>
            <w:tcW w:type="dxa" w:w="1400"/>
            <w:shd w:fill="F3F6F4" w:val="clear"/>
            <w:tcMar>
              <w:top w:type="dxa" w:w="60"/>
              <w:left w:type="dxa" w:w="110"/>
              <w:bottom w:type="dxa" w:w="60"/>
              <w:right w:type="dxa" w:w="110"/>
            </w:tcMar>
            <w:vAlign w:val="center"/>
          </w:tcPr>
          <w:p>
            <w:pPr>
              <w:spacing w:line="252"/>
            </w:pPr>
            <w:r>
              <w:rPr>
                <w:rFonts w:ascii="Arial" w:cs="Arial" w:eastAsia="Arial" w:hAnsi="Arial"/>
                <w:b/>
                <w:bCs/>
                <w:color w:val="C0392B"/>
              </w:rPr>
              <w:t xml:space="preserve">Critique</w:t>
            </w:r>
          </w:p>
        </w:tc>
      </w:tr>
      <w:tr>
        <w:tc>
          <w:tcPr>
            <w:tcW w:type="dxa" w:w="23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Revenus</w:t>
            </w:r>
          </w:p>
        </w:tc>
        <w:tc>
          <w:tcPr>
            <w:tcW w:type="dxa" w:w="53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ZÉRO — commission codée mais non testée en conditions réelles</w:t>
            </w:r>
          </w:p>
        </w:tc>
        <w:tc>
          <w:tcPr>
            <w:tcW w:type="dxa" w:w="1400"/>
            <w:shd w:fill="FFFFFF" w:val="clear"/>
            <w:tcMar>
              <w:top w:type="dxa" w:w="60"/>
              <w:left w:type="dxa" w:w="110"/>
              <w:bottom w:type="dxa" w:w="60"/>
              <w:right w:type="dxa" w:w="110"/>
            </w:tcMar>
            <w:vAlign w:val="center"/>
          </w:tcPr>
          <w:p>
            <w:pPr>
              <w:spacing w:line="252"/>
            </w:pPr>
            <w:r>
              <w:rPr>
                <w:rFonts w:ascii="Arial" w:cs="Arial" w:eastAsia="Arial" w:hAnsi="Arial"/>
                <w:b/>
                <w:bCs/>
                <w:color w:val="B7791F"/>
              </w:rPr>
              <w:t xml:space="preserve">À activer</w:t>
            </w:r>
          </w:p>
        </w:tc>
      </w:tr>
      <w:tr>
        <w:tc>
          <w:tcPr>
            <w:tcW w:type="dxa" w:w="23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Concurrence</w:t>
            </w:r>
          </w:p>
        </w:tc>
        <w:tc>
          <w:tcPr>
            <w:tcW w:type="dxa" w:w="53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FORTE — Jiji leader, Facebook Marketplace, CoinAfrique</w:t>
            </w:r>
          </w:p>
        </w:tc>
        <w:tc>
          <w:tcPr>
            <w:tcW w:type="dxa" w:w="1400"/>
            <w:shd w:fill="F3F6F4" w:val="clear"/>
            <w:tcMar>
              <w:top w:type="dxa" w:w="60"/>
              <w:left w:type="dxa" w:w="110"/>
              <w:bottom w:type="dxa" w:w="60"/>
              <w:right w:type="dxa" w:w="110"/>
            </w:tcMar>
            <w:vAlign w:val="center"/>
          </w:tcPr>
          <w:p>
            <w:pPr>
              <w:spacing w:line="252"/>
            </w:pPr>
            <w:r>
              <w:rPr>
                <w:rFonts w:ascii="Arial" w:cs="Arial" w:eastAsia="Arial" w:hAnsi="Arial"/>
                <w:b/>
                <w:bCs/>
                <w:color w:val="B7791F"/>
              </w:rPr>
              <w:t xml:space="preserve">À gérer</w:t>
            </w:r>
          </w:p>
        </w:tc>
      </w:tr>
      <w:tr>
        <w:tc>
          <w:tcPr>
            <w:tcW w:type="dxa" w:w="23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Avantages défendables</w:t>
            </w:r>
          </w:p>
        </w:tc>
        <w:tc>
          <w:tcPr>
            <w:tcW w:type="dxa" w:w="53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RÉELS — escrow, Wolof, Express sans compte, parrainage, IA</w:t>
            </w:r>
          </w:p>
        </w:tc>
        <w:tc>
          <w:tcPr>
            <w:tcW w:type="dxa" w:w="1400"/>
            <w:shd w:fill="FFFFFF" w:val="clear"/>
            <w:tcMar>
              <w:top w:type="dxa" w:w="60"/>
              <w:left w:type="dxa" w:w="110"/>
              <w:bottom w:type="dxa" w:w="60"/>
              <w:right w:type="dxa" w:w="110"/>
            </w:tcMar>
            <w:vAlign w:val="center"/>
          </w:tcPr>
          <w:p>
            <w:pPr>
              <w:spacing w:line="252"/>
            </w:pPr>
            <w:r>
              <w:rPr>
                <w:rFonts w:ascii="Arial" w:cs="Arial" w:eastAsia="Arial" w:hAnsi="Arial"/>
                <w:b/>
                <w:bCs/>
                <w:color w:val="00853E"/>
              </w:rPr>
              <w:t xml:space="preserve">À exploiter</w:t>
            </w:r>
          </w:p>
        </w:tc>
      </w:tr>
      <w:tr>
        <w:tc>
          <w:tcPr>
            <w:tcW w:type="dxa" w:w="23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Budget marketing</w:t>
            </w:r>
          </w:p>
        </w:tc>
        <w:tc>
          <w:tcPr>
            <w:tcW w:type="dxa" w:w="53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NUL — tout doit être organique (bouche-à-oreille, SEO, partenariats)</w:t>
            </w:r>
          </w:p>
        </w:tc>
        <w:tc>
          <w:tcPr>
            <w:tcW w:type="dxa" w:w="1400"/>
            <w:shd w:fill="F3F6F4" w:val="clear"/>
            <w:tcMar>
              <w:top w:type="dxa" w:w="60"/>
              <w:left w:type="dxa" w:w="110"/>
              <w:bottom w:type="dxa" w:w="60"/>
              <w:right w:type="dxa" w:w="110"/>
            </w:tcMar>
            <w:vAlign w:val="center"/>
          </w:tcPr>
          <w:p>
            <w:pPr>
              <w:spacing w:line="252"/>
            </w:pPr>
            <w:r>
              <w:rPr>
                <w:rFonts w:ascii="Arial" w:cs="Arial" w:eastAsia="Arial" w:hAnsi="Arial"/>
                <w:b/>
                <w:bCs/>
                <w:color w:val="6B7280"/>
              </w:rPr>
              <w:t xml:space="preserve">Contrainte</w:t>
            </w:r>
          </w:p>
        </w:tc>
      </w:tr>
    </w:tbl>
    <w:tbl>
      <w:tblPr>
        <w:tblW w:type="dxa" w:w="9026"/>
        <w:tblBorders>
          <w:top w:val="single" w:color="E3F2EA" w:sz="1"/>
          <w:left w:val="single" w:color="00853E" w:sz="18"/>
          <w:bottom w:val="single" w:color="E3F2EA" w:sz="1"/>
          <w:right w:val="single" w:color="E3F2EA" w:sz="1"/>
          <w:insideH w:val="single" w:color="auto" w:sz="4"/>
          <w:insideV w:val="single" w:color="auto" w:sz="4"/>
        </w:tblBorders>
      </w:tblPr>
      <w:tblGrid>
        <w:gridCol w:w="9026"/>
      </w:tblGrid>
      <w:tr>
        <w:tc>
          <w:tcPr>
            <w:shd w:fill="E3F2EA" w:val="clear"/>
            <w:tcMar>
              <w:top w:type="dxa" w:w="120"/>
              <w:left w:type="dxa" w:w="200"/>
              <w:bottom w:type="dxa" w:w="120"/>
              <w:right w:type="dxa" w:w="160"/>
            </w:tcMar>
          </w:tcPr>
          <w:p>
            <w:pPr>
              <w:spacing w:after="80"/>
            </w:pPr>
            <w:r>
              <w:rPr>
                <w:rFonts w:ascii="Arial" w:cs="Arial" w:eastAsia="Arial" w:hAnsi="Arial"/>
                <w:b/>
                <w:bCs/>
                <w:color w:val="00853E"/>
                <w:sz w:val="22"/>
                <w:szCs w:val="22"/>
              </w:rPr>
              <w:t xml:space="preserve">Vérité de débutant</w:t>
            </w:r>
          </w:p>
          <w:p>
            <w:pPr>
              <w:spacing w:after="60" w:line="264"/>
            </w:pPr>
            <w:r>
              <w:rPr>
                <w:rFonts w:ascii="Arial" w:cs="Arial" w:eastAsia="Arial" w:hAnsi="Arial"/>
                <w:sz w:val="21"/>
                <w:szCs w:val="21"/>
              </w:rPr>
              <w:t xml:space="preserve">Ne pas avoir de budget n’est pas une faiblesse — c’est une contrainte qui force la créativité. WhatsApp a atteint 200 M d’utilisateurs sans budget pub ; Dropbox a crû de +3 900 % en 15 mois via le parrainage. Votre avantage : vous connaissez le marché sénégalais mieux que Jiji (basé à Lagos).</w:t>
            </w:r>
          </w:p>
        </w:tc>
      </w:tr>
    </w:tbl>
    <w:p>
      <w:pPr>
        <w:pStyle w:val="Heading2"/>
        <w:spacing w:after="120" w:before="240"/>
      </w:pPr>
      <w:r>
        <w:rPr>
          <w:rFonts w:ascii="Arial" w:cs="Arial" w:eastAsia="Arial" w:hAnsi="Arial"/>
          <w:b/>
          <w:bCs/>
          <w:color w:val="1F2937"/>
          <w:sz w:val="25"/>
          <w:szCs w:val="25"/>
        </w:rPr>
        <w:t xml:space="preserve">2.1 Verdicts des quatre cadres d’analyse</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1500"/>
        <w:gridCol w:w="7526"/>
      </w:tblGrid>
      <w:tr>
        <w:trPr>
          <w:tblHeader/>
        </w:trPr>
        <w:tc>
          <w:tcPr>
            <w:tcW w:type="dxa" w:w="15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Cadre</w:t>
            </w:r>
          </w:p>
        </w:tc>
        <w:tc>
          <w:tcPr>
            <w:tcW w:type="dxa" w:w="75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Verdict synthétique</w:t>
            </w:r>
          </w:p>
        </w:tc>
      </w:tr>
      <w:tr>
        <w:tc>
          <w:tcPr>
            <w:tcW w:type="dxa" w:w="1500"/>
            <w:shd w:fill="FFFFFF" w:val="clear"/>
            <w:tcMar>
              <w:top w:type="dxa" w:w="60"/>
              <w:left w:type="dxa" w:w="110"/>
              <w:bottom w:type="dxa" w:w="60"/>
              <w:right w:type="dxa" w:w="110"/>
            </w:tcMar>
            <w:vAlign w:val="center"/>
          </w:tcPr>
          <w:p>
            <w:pPr>
              <w:spacing w:line="252"/>
            </w:pPr>
            <w:r>
              <w:rPr>
                <w:rFonts w:ascii="Arial" w:cs="Arial" w:eastAsia="Arial" w:hAnsi="Arial"/>
                <w:b/>
                <w:bCs/>
              </w:rPr>
              <w:t xml:space="preserve">OODA</w:t>
            </w:r>
          </w:p>
        </w:tc>
        <w:tc>
          <w:tcPr>
            <w:tcW w:type="dxa" w:w="75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Votre avantage décisif est la vitesse : chaque itération de 48 h vous prend ce qui prendrait 6-18 mois à Jiji. Condition : mesurer TOUT et ajuster chaque semaine.</w:t>
            </w:r>
          </w:p>
        </w:tc>
      </w:tr>
      <w:tr>
        <w:tc>
          <w:tcPr>
            <w:tcW w:type="dxa" w:w="1500"/>
            <w:shd w:fill="F3F6F4" w:val="clear"/>
            <w:tcMar>
              <w:top w:type="dxa" w:w="60"/>
              <w:left w:type="dxa" w:w="110"/>
              <w:bottom w:type="dxa" w:w="60"/>
              <w:right w:type="dxa" w:w="110"/>
            </w:tcMar>
            <w:vAlign w:val="center"/>
          </w:tcPr>
          <w:p>
            <w:pPr>
              <w:spacing w:line="252"/>
            </w:pPr>
            <w:r>
              <w:rPr>
                <w:rFonts w:ascii="Arial" w:cs="Arial" w:eastAsia="Arial" w:hAnsi="Arial"/>
                <w:b/>
                <w:bCs/>
              </w:rPr>
              <w:t xml:space="preserve">SWOT</w:t>
            </w:r>
          </w:p>
        </w:tc>
        <w:tc>
          <w:tcPr>
            <w:tcW w:type="dxa" w:w="75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5 avantages structurellement non-copiables à court terme. La faiblesse critique est l’absence de validation marché → objectif n°1 : 3 vraies transactions.</w:t>
            </w:r>
          </w:p>
        </w:tc>
      </w:tr>
      <w:tr>
        <w:tc>
          <w:tcPr>
            <w:tcW w:type="dxa" w:w="1500"/>
            <w:shd w:fill="FFFFFF" w:val="clear"/>
            <w:tcMar>
              <w:top w:type="dxa" w:w="60"/>
              <w:left w:type="dxa" w:w="110"/>
              <w:bottom w:type="dxa" w:w="60"/>
              <w:right w:type="dxa" w:w="110"/>
            </w:tcMar>
            <w:vAlign w:val="center"/>
          </w:tcPr>
          <w:p>
            <w:pPr>
              <w:spacing w:line="252"/>
            </w:pPr>
            <w:r>
              <w:rPr>
                <w:rFonts w:ascii="Arial" w:cs="Arial" w:eastAsia="Arial" w:hAnsi="Arial"/>
                <w:b/>
                <w:bCs/>
              </w:rPr>
              <w:t xml:space="preserve">Red Team</w:t>
            </w:r>
          </w:p>
        </w:tc>
        <w:tc>
          <w:tcPr>
            <w:tcW w:type="dxa" w:w="75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Le plan survit à l’analyse critique (score global 6/10). 3 failles existentielles : commission non validée, stratégie acheteurs absente, bus factor solo.</w:t>
            </w:r>
          </w:p>
        </w:tc>
      </w:tr>
      <w:tr>
        <w:tc>
          <w:tcPr>
            <w:tcW w:type="dxa" w:w="1500"/>
            <w:shd w:fill="F3F6F4" w:val="clear"/>
            <w:tcMar>
              <w:top w:type="dxa" w:w="60"/>
              <w:left w:type="dxa" w:w="110"/>
              <w:bottom w:type="dxa" w:w="60"/>
              <w:right w:type="dxa" w:w="110"/>
            </w:tcMar>
            <w:vAlign w:val="center"/>
          </w:tcPr>
          <w:p>
            <w:pPr>
              <w:spacing w:line="252"/>
            </w:pPr>
            <w:r>
              <w:rPr>
                <w:rFonts w:ascii="Arial" w:cs="Arial" w:eastAsia="Arial" w:hAnsi="Arial"/>
                <w:b/>
                <w:bCs/>
              </w:rPr>
              <w:t xml:space="preserve">Pré-Mortem</w:t>
            </w:r>
          </w:p>
        </w:tc>
        <w:tc>
          <w:tcPr>
            <w:tcW w:type="dxa" w:w="75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 scénarios de mort quasi-certains sans action : commission évitée (PM-01) et burnout (PM-02). Survie = 3 décisions sous 30 jours.</w:t>
            </w:r>
          </w:p>
        </w:tc>
      </w:tr>
    </w:tbl>
    <w:p>
      <w:pPr>
        <w:pStyle w:val="Heading2"/>
        <w:spacing w:after="120" w:before="240"/>
      </w:pPr>
      <w:r>
        <w:rPr>
          <w:rFonts w:ascii="Arial" w:cs="Arial" w:eastAsia="Arial" w:hAnsi="Arial"/>
          <w:b/>
          <w:bCs/>
          <w:color w:val="1F2937"/>
          <w:sz w:val="25"/>
          <w:szCs w:val="25"/>
        </w:rPr>
        <w:t xml:space="preserve">2.2 Score de robustesse du plan (Red Team)</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3000"/>
        <w:gridCol w:w="1100"/>
        <w:gridCol w:w="4926"/>
      </w:tblGrid>
      <w:tr>
        <w:trPr>
          <w:tblHeader/>
        </w:trPr>
        <w:tc>
          <w:tcPr>
            <w:tcW w:type="dxa" w:w="30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Pilier</w:t>
            </w:r>
          </w:p>
        </w:tc>
        <w:tc>
          <w:tcPr>
            <w:tcW w:type="dxa" w:w="11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Score</w:t>
            </w:r>
          </w:p>
        </w:tc>
        <w:tc>
          <w:tcPr>
            <w:tcW w:type="dxa" w:w="49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Lecture</w:t>
            </w:r>
          </w:p>
        </w:tc>
      </w:tr>
      <w:tr>
        <w:tc>
          <w:tcPr>
            <w:tcW w:type="dxa" w:w="30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Infrastructure technique</w:t>
            </w:r>
          </w:p>
        </w:tc>
        <w:tc>
          <w:tcPr>
            <w:tcW w:type="dxa" w:w="11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8/10</w:t>
            </w:r>
          </w:p>
        </w:tc>
        <w:tc>
          <w:tcPr>
            <w:tcW w:type="dxa" w:w="49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Exceptionnel pour un solo</w:t>
            </w:r>
          </w:p>
        </w:tc>
      </w:tr>
      <w:tr>
        <w:tc>
          <w:tcPr>
            <w:tcW w:type="dxa" w:w="30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Stratégie marketing</w:t>
            </w:r>
          </w:p>
        </w:tc>
        <w:tc>
          <w:tcPr>
            <w:tcW w:type="dxa" w:w="11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8/10</w:t>
            </w:r>
          </w:p>
        </w:tc>
        <w:tc>
          <w:tcPr>
            <w:tcW w:type="dxa" w:w="49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Forte côté vendeurs, désormais complétée côté acheteurs</w:t>
            </w:r>
          </w:p>
        </w:tc>
      </w:tr>
      <w:tr>
        <w:tc>
          <w:tcPr>
            <w:tcW w:type="dxa" w:w="30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Modèle de revenus</w:t>
            </w:r>
          </w:p>
        </w:tc>
        <w:tc>
          <w:tcPr>
            <w:tcW w:type="dxa" w:w="11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5/10</w:t>
            </w:r>
          </w:p>
        </w:tc>
        <w:tc>
          <w:tcPr>
            <w:tcW w:type="dxa" w:w="49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Architecture monolithique risquée à l’échelle (migration prévue §12)</w:t>
            </w:r>
          </w:p>
        </w:tc>
      </w:tr>
      <w:tr>
        <w:tc>
          <w:tcPr>
            <w:tcW w:type="dxa" w:w="30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Différenciation concurrentielle</w:t>
            </w:r>
          </w:p>
        </w:tc>
        <w:tc>
          <w:tcPr>
            <w:tcW w:type="dxa" w:w="11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6/10</w:t>
            </w:r>
          </w:p>
        </w:tc>
        <w:tc>
          <w:tcPr>
            <w:tcW w:type="dxa" w:w="49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Wolof + escrow + ancrage = douves réelles mais réplicables ~18 mois</w:t>
            </w:r>
          </w:p>
        </w:tc>
      </w:tr>
      <w:tr>
        <w:tc>
          <w:tcPr>
            <w:tcW w:type="dxa" w:w="30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Projections financières</w:t>
            </w:r>
          </w:p>
        </w:tc>
        <w:tc>
          <w:tcPr>
            <w:tcW w:type="dxa" w:w="11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4/10</w:t>
            </w:r>
          </w:p>
        </w:tc>
        <w:tc>
          <w:tcPr>
            <w:tcW w:type="dxa" w:w="49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Optimistes 3-5× vs benchmarks → scénario pessimiste ajouté (§13)</w:t>
            </w:r>
          </w:p>
        </w:tc>
      </w:tr>
      <w:tr>
        <w:tc>
          <w:tcPr>
            <w:tcW w:type="dxa" w:w="30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Gestion des risques opérationnels</w:t>
            </w:r>
          </w:p>
        </w:tc>
        <w:tc>
          <w:tcPr>
            <w:tcW w:type="dxa" w:w="11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5/10</w:t>
            </w:r>
          </w:p>
        </w:tc>
        <w:tc>
          <w:tcPr>
            <w:tcW w:type="dxa" w:w="49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Bus factor 1 et conformité BCEAO désormais adressés (§3, §11)</w:t>
            </w:r>
          </w:p>
        </w:tc>
      </w:tr>
      <w:tr>
        <w:tc>
          <w:tcPr>
            <w:tcW w:type="dxa" w:w="3000"/>
            <w:shd w:fill="FFFFFF" w:val="clear"/>
            <w:tcMar>
              <w:top w:type="dxa" w:w="60"/>
              <w:left w:type="dxa" w:w="110"/>
              <w:bottom w:type="dxa" w:w="60"/>
              <w:right w:type="dxa" w:w="110"/>
            </w:tcMar>
            <w:vAlign w:val="center"/>
          </w:tcPr>
          <w:p>
            <w:pPr>
              <w:spacing w:line="252"/>
            </w:pPr>
            <w:r>
              <w:rPr>
                <w:rFonts w:ascii="Arial" w:cs="Arial" w:eastAsia="Arial" w:hAnsi="Arial"/>
                <w:b/>
                <w:bCs/>
              </w:rPr>
              <w:t xml:space="preserve">SCORE GLOBAL</w:t>
            </w:r>
          </w:p>
        </w:tc>
        <w:tc>
          <w:tcPr>
            <w:tcW w:type="dxa" w:w="1100"/>
            <w:shd w:fill="FFFFFF" w:val="clear"/>
            <w:tcMar>
              <w:top w:type="dxa" w:w="60"/>
              <w:left w:type="dxa" w:w="110"/>
              <w:bottom w:type="dxa" w:w="60"/>
              <w:right w:type="dxa" w:w="110"/>
            </w:tcMar>
            <w:vAlign w:val="center"/>
          </w:tcPr>
          <w:p>
            <w:pPr>
              <w:spacing w:line="252"/>
            </w:pPr>
            <w:r>
              <w:rPr>
                <w:rFonts w:ascii="Arial" w:cs="Arial" w:eastAsia="Arial" w:hAnsi="Arial"/>
                <w:b/>
                <w:bCs/>
                <w:color w:val="00853E"/>
              </w:rPr>
              <w:t xml:space="preserve">6/10</w:t>
            </w:r>
          </w:p>
        </w:tc>
        <w:tc>
          <w:tcPr>
            <w:tcW w:type="dxa" w:w="4926"/>
            <w:shd w:fill="FFFFFF" w:val="clear"/>
            <w:tcMar>
              <w:top w:type="dxa" w:w="60"/>
              <w:left w:type="dxa" w:w="110"/>
              <w:bottom w:type="dxa" w:w="60"/>
              <w:right w:type="dxa" w:w="110"/>
            </w:tcMar>
            <w:vAlign w:val="center"/>
          </w:tcPr>
          <w:p>
            <w:pPr>
              <w:spacing w:line="252"/>
            </w:pPr>
            <w:r>
              <w:rPr>
                <w:rFonts w:ascii="Arial" w:cs="Arial" w:eastAsia="Arial" w:hAnsi="Arial"/>
                <w:b/>
                <w:bCs/>
              </w:rPr>
              <w:t xml:space="preserve">Base solide ; vulnérabilités adressables si les 3 risques critiques sont traités sous 90 j</w:t>
            </w:r>
          </w:p>
        </w:tc>
      </w:tr>
    </w:tbl>
    <w:p>
      <w:pPr>
        <w:pStyle w:val="Heading1"/>
        <w:pageBreakBefore/>
        <w:spacing w:after="160" w:before="320"/>
      </w:pPr>
      <w:r>
        <w:rPr>
          <w:rFonts w:ascii="Arial" w:cs="Arial" w:eastAsia="Arial" w:hAnsi="Arial"/>
          <w:b/>
          <w:bCs/>
          <w:color w:val="00853E"/>
          <w:sz w:val="30"/>
          <w:szCs w:val="30"/>
        </w:rPr>
        <w:t xml:space="preserve">3. Les trois décisions existentielles (à traiter en premier)</w:t>
      </w:r>
    </w:p>
    <w:p>
      <w:pPr>
        <w:spacing w:after="120" w:line="276"/>
      </w:pPr>
      <w:r>
        <w:rPr>
          <w:rFonts w:ascii="Arial" w:cs="Arial" w:eastAsia="Arial" w:hAnsi="Arial"/>
        </w:rPr>
        <w:t xml:space="preserve">Ces trois points conditionnent la survie du projet. Ils sont traités ici avant le modèle économique détaillé, conformément aux verdicts Red Team (RT-01 à RT-03) et Pré-Mortem (PM-01, PM-02).</w:t>
      </w:r>
    </w:p>
    <w:p>
      <w:pPr>
        <w:pStyle w:val="Heading2"/>
        <w:spacing w:after="120" w:before="240"/>
      </w:pPr>
      <w:r>
        <w:rPr>
          <w:rFonts w:ascii="Arial" w:cs="Arial" w:eastAsia="Arial" w:hAnsi="Arial"/>
          <w:b/>
          <w:bCs/>
          <w:color w:val="1F2937"/>
          <w:sz w:val="25"/>
          <w:szCs w:val="25"/>
        </w:rPr>
        <w:t xml:space="preserve">3.1 Commission : du 15 % au jour 1 à une montée progressive</w:t>
      </w:r>
    </w:p>
    <w:p>
      <w:pPr>
        <w:spacing w:after="120" w:line="276"/>
      </w:pPr>
      <w:r>
        <w:rPr>
          <w:rFonts w:ascii="Arial" w:cs="Arial" w:eastAsia="Arial" w:hAnsi="Arial"/>
          <w:b/>
          <w:bCs/>
          <w:color w:val="C0392B"/>
        </w:rPr>
        <w:t xml:space="preserve">Attaque (RT-01) : </w:t>
      </w:r>
      <w:r>
        <w:rPr>
          <w:rFonts w:ascii="Arial" w:cs="Arial" w:eastAsia="Arial" w:hAnsi="Arial"/>
        </w:rPr>
        <w:t xml:space="preserve">les deux concurrents dominants facturent 0 %. Un vendeur rationnel listerait sur NEXUS pour la visibilité, puis clôturerait via WhatsApp pour éviter la commission. NEXUS deviendrait un catalogue gratuit sans revenu.</w:t>
      </w:r>
    </w:p>
    <w:p>
      <w:pPr>
        <w:spacing w:after="120" w:line="276"/>
      </w:pPr>
      <w:r>
        <w:rPr>
          <w:rFonts w:ascii="Arial" w:cs="Arial" w:eastAsia="Arial" w:hAnsi="Arial"/>
          <w:b/>
          <w:bCs/>
          <w:color w:val="00853E"/>
        </w:rPr>
        <w:t xml:space="preserve">Réponse : </w:t>
      </w:r>
      <w:r>
        <w:rPr>
          <w:rFonts w:ascii="Arial" w:cs="Arial" w:eastAsia="Arial" w:hAnsi="Arial"/>
        </w:rPr>
        <w:t xml:space="preserve">barème progressif + rendre l’escrow réellement irremplaçable.</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2600"/>
        <w:gridCol w:w="1600"/>
        <w:gridCol w:w="4826"/>
      </w:tblGrid>
      <w:tr>
        <w:trPr>
          <w:tblHeader/>
        </w:trPr>
        <w:tc>
          <w:tcPr>
            <w:tcW w:type="dxa" w:w="26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Période</w:t>
            </w:r>
          </w:p>
        </w:tc>
        <w:tc>
          <w:tcPr>
            <w:tcW w:type="dxa" w:w="16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Commission</w:t>
            </w:r>
          </w:p>
        </w:tc>
        <w:tc>
          <w:tcPr>
            <w:tcW w:type="dxa" w:w="48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Objectif</w:t>
            </w:r>
          </w:p>
        </w:tc>
      </w:tr>
      <w:tr>
        <w:tc>
          <w:tcPr>
            <w:tcW w:type="dxa" w:w="26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Jours 1-90 (lancement)</w:t>
            </w:r>
          </w:p>
        </w:tc>
        <w:tc>
          <w:tcPr>
            <w:tcW w:type="dxa" w:w="16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0 %</w:t>
            </w:r>
          </w:p>
        </w:tc>
        <w:tc>
          <w:tcPr>
            <w:tcW w:type="dxa" w:w="48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Construire la masse critique, zéro friction d’adoption</w:t>
            </w:r>
          </w:p>
        </w:tc>
      </w:tr>
      <w:tr>
        <w:tc>
          <w:tcPr>
            <w:tcW w:type="dxa" w:w="26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Mois 4-6</w:t>
            </w:r>
          </w:p>
        </w:tc>
        <w:tc>
          <w:tcPr>
            <w:tcW w:type="dxa" w:w="16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5 %</w:t>
            </w:r>
          </w:p>
        </w:tc>
        <w:tc>
          <w:tcPr>
            <w:tcW w:type="dxa" w:w="48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Première monétisation douce, prouver la valeur escrow</w:t>
            </w:r>
          </w:p>
        </w:tc>
      </w:tr>
      <w:tr>
        <w:tc>
          <w:tcPr>
            <w:tcW w:type="dxa" w:w="26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Mois 7-12</w:t>
            </w:r>
          </w:p>
        </w:tc>
        <w:tc>
          <w:tcPr>
            <w:tcW w:type="dxa" w:w="16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10 %</w:t>
            </w:r>
          </w:p>
        </w:tc>
        <w:tc>
          <w:tcPr>
            <w:tcW w:type="dxa" w:w="48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Montée en charge sur vendeurs fidélisés</w:t>
            </w:r>
          </w:p>
        </w:tc>
      </w:tr>
      <w:tr>
        <w:tc>
          <w:tcPr>
            <w:tcW w:type="dxa" w:w="26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Année 2+</w:t>
            </w:r>
          </w:p>
        </w:tc>
        <w:tc>
          <w:tcPr>
            <w:tcW w:type="dxa" w:w="16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13-15 %</w:t>
            </w:r>
          </w:p>
        </w:tc>
        <w:tc>
          <w:tcPr>
            <w:tcW w:type="dxa" w:w="48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Régime nominal — sur une base qui ne peut plus partir</w:t>
            </w:r>
          </w:p>
        </w:tc>
      </w:tr>
    </w:tbl>
    <w:p>
      <w:pPr>
        <w:pStyle w:val="Heading3"/>
        <w:spacing w:after="100" w:before="180"/>
      </w:pPr>
      <w:r>
        <w:rPr>
          <w:rFonts w:ascii="Arial" w:cs="Arial" w:eastAsia="Arial" w:hAnsi="Arial"/>
          <w:b/>
          <w:bCs/>
          <w:color w:val="00853E"/>
          <w:sz w:val="22"/>
          <w:szCs w:val="22"/>
        </w:rPr>
        <w:t xml:space="preserve">Mécanismes anti-contournement (rendre la fuite plus coûteuse que la commission)</w:t>
      </w:r>
    </w:p>
    <w:p>
      <w:pPr>
        <w:pStyle w:val="ListParagraph"/>
        <w:numPr>
          <w:ilvl w:val="0"/>
          <w:numId w:val="3"/>
        </w:numPr>
        <w:spacing w:after="80" w:line="270"/>
      </w:pPr>
      <w:r>
        <w:rPr>
          <w:rFonts w:ascii="Arial" w:cs="Arial" w:eastAsia="Arial" w:hAnsi="Arial"/>
          <w:b/>
          <w:bCs/>
        </w:rPr>
        <w:t xml:space="preserve">Numéro de téléphone masqué dans les annonces</w:t>
      </w:r>
      <w:r>
        <w:rPr>
          <w:rFonts w:ascii="Arial" w:cs="Arial" w:eastAsia="Arial" w:hAnsi="Arial"/>
        </w:rPr>
        <w:t xml:space="preserve"> — forcer le premier contact via la plateforme.</w:t>
      </w:r>
    </w:p>
    <w:p>
      <w:pPr>
        <w:pStyle w:val="ListParagraph"/>
        <w:numPr>
          <w:ilvl w:val="0"/>
          <w:numId w:val="3"/>
        </w:numPr>
        <w:spacing w:after="80" w:line="270"/>
      </w:pPr>
      <w:r>
        <w:rPr>
          <w:rFonts w:ascii="Arial" w:cs="Arial" w:eastAsia="Arial" w:hAnsi="Arial"/>
          <w:b/>
          <w:bCs/>
        </w:rPr>
        <w:t xml:space="preserve">Badge « Vérifié » + historique de réputation</w:t>
      </w:r>
      <w:r>
        <w:rPr>
          <w:rFonts w:ascii="Arial" w:cs="Arial" w:eastAsia="Arial" w:hAnsi="Arial"/>
        </w:rPr>
        <w:t xml:space="preserve"> — actifs perdus si la vente se fait hors plateforme.</w:t>
      </w:r>
    </w:p>
    <w:p>
      <w:pPr>
        <w:pStyle w:val="ListParagraph"/>
        <w:numPr>
          <w:ilvl w:val="0"/>
          <w:numId w:val="3"/>
        </w:numPr>
        <w:spacing w:after="80" w:line="270"/>
      </w:pPr>
      <w:r>
        <w:rPr>
          <w:rFonts w:ascii="Arial" w:cs="Arial" w:eastAsia="Arial" w:hAnsi="Arial"/>
          <w:b/>
          <w:bCs/>
        </w:rPr>
        <w:t xml:space="preserve">Protection acheteur conditionnée à la transaction en ligne</w:t>
      </w:r>
      <w:r>
        <w:rPr>
          <w:rFonts w:ascii="Arial" w:cs="Arial" w:eastAsia="Arial" w:hAnsi="Arial"/>
        </w:rPr>
        <w:t xml:space="preserve"> — pas de remboursement hors escrow.</w:t>
      </w:r>
    </w:p>
    <w:p>
      <w:pPr>
        <w:pStyle w:val="ListParagraph"/>
        <w:numPr>
          <w:ilvl w:val="0"/>
          <w:numId w:val="3"/>
        </w:numPr>
        <w:spacing w:after="80" w:line="270"/>
      </w:pPr>
      <w:r>
        <w:rPr>
          <w:rFonts w:ascii="Arial" w:cs="Arial" w:eastAsia="Arial" w:hAnsi="Arial"/>
          <w:b/>
          <w:bCs/>
        </w:rPr>
        <w:t xml:space="preserve">Points fidélité &amp; switching costs</w:t>
      </w:r>
      <w:r>
        <w:rPr>
          <w:rFonts w:ascii="Arial" w:cs="Arial" w:eastAsia="Arial" w:hAnsi="Arial"/>
        </w:rPr>
        <w:t xml:space="preserve"> — le vendeur perd plus en partant qu’il ne gagne en évitant 5-10 %.</w:t>
      </w:r>
    </w:p>
    <w:p>
      <w:pPr>
        <w:spacing w:after="120" w:line="276"/>
      </w:pPr>
      <w:r>
        <w:rPr>
          <w:rFonts w:ascii="Arial" w:cs="Arial" w:eastAsia="Arial" w:hAnsi="Arial"/>
          <w:b/>
          <w:bCs/>
        </w:rPr>
        <w:t xml:space="preserve">Test impératif avant Mois 3 : </w:t>
      </w:r>
      <w:r>
        <w:rPr>
          <w:rFonts w:ascii="Arial" w:cs="Arial" w:eastAsia="Arial" w:hAnsi="Arial"/>
        </w:rPr>
        <w:t xml:space="preserve">sonder la propension à payer sur 20 vendeurs (enquête WhatsApp 5 questions). On ne déploie le barème que validé par la donnée.</w:t>
      </w:r>
    </w:p>
    <w:p>
      <w:pPr>
        <w:pStyle w:val="Heading2"/>
        <w:spacing w:after="120" w:before="240"/>
      </w:pPr>
      <w:r>
        <w:rPr>
          <w:rFonts w:ascii="Arial" w:cs="Arial" w:eastAsia="Arial" w:hAnsi="Arial"/>
          <w:b/>
          <w:bCs/>
          <w:color w:val="1F2937"/>
          <w:sz w:val="25"/>
          <w:szCs w:val="25"/>
        </w:rPr>
        <w:t xml:space="preserve">3.2 Acquisition acheteurs : la stratégie symétrique manquante</w:t>
      </w:r>
    </w:p>
    <w:p>
      <w:pPr>
        <w:spacing w:after="120" w:line="276"/>
      </w:pPr>
      <w:r>
        <w:rPr>
          <w:rFonts w:ascii="Arial" w:cs="Arial" w:eastAsia="Arial" w:hAnsi="Arial"/>
          <w:b/>
          <w:bCs/>
          <w:color w:val="C0392B"/>
        </w:rPr>
        <w:t xml:space="preserve">Attaque (RT-02 / PM-01) : </w:t>
      </w:r>
      <w:r>
        <w:rPr>
          <w:rFonts w:ascii="Arial" w:cs="Arial" w:eastAsia="Arial" w:hAnsi="Arial"/>
        </w:rPr>
        <w:t xml:space="preserve">le plan initial consacrait ~95 % de l’énergie d’acquisition aux vendeurs. Or les vendeurs partent si personne n’achète — après ~4 semaines sans vente, ils désactivent leurs annonces. La plateforme devient un cimetière de listings.</w:t>
      </w:r>
    </w:p>
    <w:p>
      <w:pPr>
        <w:spacing w:after="120" w:line="276"/>
      </w:pPr>
      <w:r>
        <w:rPr>
          <w:rFonts w:ascii="Arial" w:cs="Arial" w:eastAsia="Arial" w:hAnsi="Arial"/>
          <w:b/>
          <w:bCs/>
          <w:color w:val="00853E"/>
        </w:rPr>
        <w:t xml:space="preserve">Réponse : </w:t>
      </w:r>
      <w:r>
        <w:rPr>
          <w:rFonts w:ascii="Arial" w:cs="Arial" w:eastAsia="Arial" w:hAnsi="Arial"/>
        </w:rPr>
        <w:t xml:space="preserve">lancer l’acquisition acheteurs en parallèle dès le jour 1 (détaillée en §7).</w:t>
      </w:r>
    </w:p>
    <w:p>
      <w:pPr>
        <w:pStyle w:val="ListParagraph"/>
        <w:numPr>
          <w:ilvl w:val="0"/>
          <w:numId w:val="3"/>
        </w:numPr>
        <w:spacing w:after="80" w:line="270"/>
      </w:pPr>
      <w:r>
        <w:rPr>
          <w:rFonts w:ascii="Arial" w:cs="Arial" w:eastAsia="Arial" w:hAnsi="Arial"/>
          <w:b/>
          <w:bCs/>
        </w:rPr>
        <w:t xml:space="preserve">« Premier achat garanti »</w:t>
      </w:r>
      <w:r>
        <w:rPr>
          <w:rFonts w:ascii="Arial" w:cs="Arial" w:eastAsia="Arial" w:hAnsi="Arial"/>
        </w:rPr>
        <w:t xml:space="preserve"> — si un acheteur est victime d’arnaque, NEXUS rembourse (coût assumé sur les 20 premières transactions, réserve dédiée §11).</w:t>
      </w:r>
    </w:p>
    <w:p>
      <w:pPr>
        <w:pStyle w:val="ListParagraph"/>
        <w:numPr>
          <w:ilvl w:val="0"/>
          <w:numId w:val="3"/>
        </w:numPr>
        <w:spacing w:after="80" w:line="270"/>
      </w:pPr>
      <w:r>
        <w:rPr>
          <w:rFonts w:ascii="Arial" w:cs="Arial" w:eastAsia="Arial" w:hAnsi="Arial"/>
          <w:b/>
          <w:bCs/>
        </w:rPr>
        <w:t xml:space="preserve">Newsletter / broadcast acheteur hebdomadaire</w:t>
      </w:r>
      <w:r>
        <w:rPr>
          <w:rFonts w:ascii="Arial" w:cs="Arial" w:eastAsia="Arial" w:hAnsi="Arial"/>
        </w:rPr>
        <w:t xml:space="preserve"> — « Les meilleures annonces NEXUS cette semaine ».</w:t>
      </w:r>
    </w:p>
    <w:p>
      <w:pPr>
        <w:pStyle w:val="ListParagraph"/>
        <w:numPr>
          <w:ilvl w:val="0"/>
          <w:numId w:val="3"/>
        </w:numPr>
        <w:spacing w:after="80" w:line="270"/>
      </w:pPr>
      <w:r>
        <w:rPr>
          <w:rFonts w:ascii="Arial" w:cs="Arial" w:eastAsia="Arial" w:hAnsi="Arial"/>
          <w:b/>
          <w:bCs/>
        </w:rPr>
        <w:t xml:space="preserve">Fidélité Bronze-Platine + cashback 5 %</w:t>
      </w:r>
      <w:r>
        <w:rPr>
          <w:rFonts w:ascii="Arial" w:cs="Arial" w:eastAsia="Arial" w:hAnsi="Arial"/>
        </w:rPr>
        <w:t xml:space="preserve"> — donner une raison de revenir et d’acheter sur la plateforme.</w:t>
      </w:r>
    </w:p>
    <w:p>
      <w:pPr>
        <w:pStyle w:val="ListParagraph"/>
        <w:numPr>
          <w:ilvl w:val="0"/>
          <w:numId w:val="3"/>
        </w:numPr>
        <w:spacing w:after="80" w:line="270"/>
      </w:pPr>
      <w:r>
        <w:rPr>
          <w:rFonts w:ascii="Arial" w:cs="Arial" w:eastAsia="Arial" w:hAnsi="Arial"/>
          <w:b/>
          <w:bCs/>
        </w:rPr>
        <w:t xml:space="preserve">Métrique prioritaire = GMV réel</w:t>
      </w:r>
      <w:r>
        <w:rPr>
          <w:rFonts w:ascii="Arial" w:cs="Arial" w:eastAsia="Arial" w:hAnsi="Arial"/>
        </w:rPr>
        <w:t xml:space="preserve"> (ventes conclues), pas le nombre d’inscrits.</w:t>
      </w:r>
    </w:p>
    <w:p>
      <w:pPr>
        <w:pStyle w:val="Heading2"/>
        <w:spacing w:after="120" w:before="240"/>
      </w:pPr>
      <w:r>
        <w:rPr>
          <w:rFonts w:ascii="Arial" w:cs="Arial" w:eastAsia="Arial" w:hAnsi="Arial"/>
          <w:b/>
          <w:bCs/>
          <w:color w:val="1F2937"/>
          <w:sz w:val="25"/>
          <w:szCs w:val="25"/>
        </w:rPr>
        <w:t xml:space="preserve">3.3 Bus factor solo : ne pas mourir d’épuisement</w:t>
      </w:r>
    </w:p>
    <w:p>
      <w:pPr>
        <w:spacing w:after="120" w:line="276"/>
      </w:pPr>
      <w:r>
        <w:rPr>
          <w:rFonts w:ascii="Arial" w:cs="Arial" w:eastAsia="Arial" w:hAnsi="Arial"/>
          <w:b/>
          <w:bCs/>
          <w:color w:val="C0392B"/>
        </w:rPr>
        <w:t xml:space="preserve">Attaque (RT-03 / PM-02) : </w:t>
      </w:r>
      <w:r>
        <w:rPr>
          <w:rFonts w:ascii="Arial" w:cs="Arial" w:eastAsia="Arial" w:hAnsi="Arial"/>
        </w:rPr>
        <w:t xml:space="preserve">une seule personne cumule développement, support, modération des litiges, ambassadeurs, contenu SEO, présence terrain, partenariats et comptabilité. Le burnout est la première cause de mort des projets solo entre le Mois 6 et le Mois 10.</w:t>
      </w:r>
    </w:p>
    <w:p>
      <w:pPr>
        <w:spacing w:after="120" w:line="276"/>
      </w:pPr>
      <w:r>
        <w:rPr>
          <w:rFonts w:ascii="Arial" w:cs="Arial" w:eastAsia="Arial" w:hAnsi="Arial"/>
          <w:b/>
          <w:bCs/>
          <w:color w:val="00853E"/>
        </w:rPr>
        <w:t xml:space="preserve">Réponse : </w:t>
      </w:r>
    </w:p>
    <w:p>
      <w:pPr>
        <w:pStyle w:val="ListParagraph"/>
        <w:numPr>
          <w:ilvl w:val="0"/>
          <w:numId w:val="3"/>
        </w:numPr>
        <w:spacing w:after="80" w:line="270"/>
      </w:pPr>
      <w:r>
        <w:rPr>
          <w:rFonts w:ascii="Arial" w:cs="Arial" w:eastAsia="Arial" w:hAnsi="Arial"/>
          <w:b/>
          <w:bCs/>
        </w:rPr>
        <w:t xml:space="preserve">Rôle minimum viable</w:t>
      </w:r>
      <w:r>
        <w:rPr>
          <w:rFonts w:ascii="Arial" w:cs="Arial" w:eastAsia="Arial" w:hAnsi="Arial"/>
        </w:rPr>
        <w:t xml:space="preserve"> pour les 90 premiers jours — déléguer ou différer tout le reste.</w:t>
      </w:r>
    </w:p>
    <w:p>
      <w:pPr>
        <w:pStyle w:val="ListParagraph"/>
        <w:numPr>
          <w:ilvl w:val="0"/>
          <w:numId w:val="3"/>
        </w:numPr>
        <w:spacing w:after="80" w:line="270"/>
      </w:pPr>
      <w:r>
        <w:rPr>
          <w:rFonts w:ascii="Arial" w:cs="Arial" w:eastAsia="Arial" w:hAnsi="Arial"/>
          <w:b/>
          <w:bCs/>
        </w:rPr>
        <w:t xml:space="preserve">Recruter un stagiaire CESAG/ISM dès le Mois 2</w:t>
      </w:r>
      <w:r>
        <w:rPr>
          <w:rFonts w:ascii="Arial" w:cs="Arial" w:eastAsia="Arial" w:hAnsi="Arial"/>
        </w:rPr>
        <w:t xml:space="preserve"> (charge : support client) en échange d’expérience.</w:t>
      </w:r>
    </w:p>
    <w:p>
      <w:pPr>
        <w:pStyle w:val="ListParagraph"/>
        <w:numPr>
          <w:ilvl w:val="0"/>
          <w:numId w:val="3"/>
        </w:numPr>
        <w:spacing w:after="80" w:line="270"/>
      </w:pPr>
      <w:r>
        <w:rPr>
          <w:rFonts w:ascii="Arial" w:cs="Arial" w:eastAsia="Arial" w:hAnsi="Arial"/>
          <w:b/>
          <w:bCs/>
        </w:rPr>
        <w:t xml:space="preserve">Automatiser 80 % du support</w:t>
      </w:r>
      <w:r>
        <w:rPr>
          <w:rFonts w:ascii="Arial" w:cs="Arial" w:eastAsia="Arial" w:hAnsi="Arial"/>
        </w:rPr>
        <w:t xml:space="preserve"> — bot FAQ WhatsApp (Green API), messages automatiques, FAQ publique Notion.</w:t>
      </w:r>
    </w:p>
    <w:p>
      <w:pPr>
        <w:pStyle w:val="ListParagraph"/>
        <w:numPr>
          <w:ilvl w:val="0"/>
          <w:numId w:val="3"/>
        </w:numPr>
        <w:spacing w:after="80" w:line="270"/>
      </w:pPr>
      <w:r>
        <w:rPr>
          <w:rFonts w:ascii="Arial" w:cs="Arial" w:eastAsia="Arial" w:hAnsi="Arial"/>
          <w:b/>
          <w:bCs/>
        </w:rPr>
        <w:t xml:space="preserve">Plafond de charge 6 h/jour</w:t>
      </w:r>
      <w:r>
        <w:rPr>
          <w:rFonts w:ascii="Arial" w:cs="Arial" w:eastAsia="Arial" w:hAnsi="Arial"/>
        </w:rPr>
        <w:t xml:space="preserve"> sur les 3 premiers mois + identifier un revenu alternatif minimal (freelance/emploi partiel).</w:t>
      </w:r>
    </w:p>
    <w:p>
      <w:pPr>
        <w:pStyle w:val="Heading1"/>
        <w:pageBreakBefore/>
        <w:spacing w:after="160" w:before="320"/>
      </w:pPr>
      <w:r>
        <w:rPr>
          <w:rFonts w:ascii="Arial" w:cs="Arial" w:eastAsia="Arial" w:hAnsi="Arial"/>
          <w:b/>
          <w:bCs/>
          <w:color w:val="00853E"/>
          <w:sz w:val="30"/>
          <w:szCs w:val="30"/>
        </w:rPr>
        <w:t xml:space="preserve">4. Analyse concurrentielle : Jiji, Facebook et nous</w:t>
      </w:r>
    </w:p>
    <w:p>
      <w:pPr>
        <w:spacing w:after="120" w:line="276"/>
      </w:pPr>
      <w:r>
        <w:rPr>
          <w:rFonts w:ascii="Arial" w:cs="Arial" w:eastAsia="Arial" w:hAnsi="Arial"/>
        </w:rPr>
        <w:t xml:space="preserve">Comprendre pourquoi les utilisateurs choisissent ou abandonnent chaque plateforme révèle nos brèches concurrentielles.</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1900"/>
        <w:gridCol w:w="1500"/>
        <w:gridCol w:w="1300"/>
        <w:gridCol w:w="2826"/>
        <w:gridCol w:w="1500"/>
      </w:tblGrid>
      <w:tr>
        <w:trPr>
          <w:tblHeader/>
        </w:trPr>
        <w:tc>
          <w:tcPr>
            <w:tcW w:type="dxa" w:w="19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Critère</w:t>
            </w:r>
          </w:p>
        </w:tc>
        <w:tc>
          <w:tcPr>
            <w:tcW w:type="dxa" w:w="15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Jiji Sénégal</w:t>
            </w:r>
          </w:p>
        </w:tc>
        <w:tc>
          <w:tcPr>
            <w:tcW w:type="dxa" w:w="13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Facebook Mkt.</w:t>
            </w:r>
          </w:p>
        </w:tc>
        <w:tc>
          <w:tcPr>
            <w:tcW w:type="dxa" w:w="28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NEXUS Market</w:t>
            </w:r>
          </w:p>
        </w:tc>
        <w:tc>
          <w:tcPr>
            <w:tcW w:type="dxa" w:w="15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Avantage</w:t>
            </w:r>
          </w:p>
        </w:tc>
      </w:tr>
      <w:tr>
        <w:tc>
          <w:tcPr>
            <w:tcW w:type="dxa" w:w="1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Protection acheteur</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Partielle (signalement)</w:t>
            </w:r>
          </w:p>
        </w:tc>
        <w:tc>
          <w:tcPr>
            <w:tcW w:type="dxa" w:w="13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Quasi-nulle</w:t>
            </w:r>
          </w:p>
        </w:tc>
        <w:tc>
          <w:tcPr>
            <w:tcW w:type="dxa" w:w="28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Complète (escrow + médiation 24 h)</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b/>
                <w:bCs/>
                <w:color w:val="00853E"/>
              </w:rPr>
              <w:t xml:space="preserve">NOUS</w:t>
            </w:r>
          </w:p>
        </w:tc>
      </w:tr>
      <w:tr>
        <w:tc>
          <w:tcPr>
            <w:tcW w:type="dxa" w:w="1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Paiements locaux</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Hors plateforme</w:t>
            </w:r>
          </w:p>
        </w:tc>
        <w:tc>
          <w:tcPr>
            <w:tcW w:type="dxa" w:w="13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Aucun</w:t>
            </w:r>
          </w:p>
        </w:tc>
        <w:tc>
          <w:tcPr>
            <w:tcW w:type="dxa" w:w="28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OM, Wave, Stripe, PayTech</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b/>
                <w:bCs/>
                <w:color w:val="00853E"/>
              </w:rPr>
              <w:t xml:space="preserve">NOUS</w:t>
            </w:r>
          </w:p>
        </w:tc>
      </w:tr>
      <w:tr>
        <w:tc>
          <w:tcPr>
            <w:tcW w:type="dxa" w:w="1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Wolof / langues locales</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Non</w:t>
            </w:r>
          </w:p>
        </w:tc>
        <w:tc>
          <w:tcPr>
            <w:tcW w:type="dxa" w:w="13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Non</w:t>
            </w:r>
          </w:p>
        </w:tc>
        <w:tc>
          <w:tcPr>
            <w:tcW w:type="dxa" w:w="28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Oui (FR/EN/Wolof)</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b/>
                <w:bCs/>
                <w:color w:val="00853E"/>
              </w:rPr>
              <w:t xml:space="preserve">NOUS</w:t>
            </w:r>
          </w:p>
        </w:tc>
      </w:tr>
      <w:tr>
        <w:tc>
          <w:tcPr>
            <w:tcW w:type="dxa" w:w="1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Annonce sans compte</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Non</w:t>
            </w:r>
          </w:p>
        </w:tc>
        <w:tc>
          <w:tcPr>
            <w:tcW w:type="dxa" w:w="13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Non</w:t>
            </w:r>
          </w:p>
        </w:tc>
        <w:tc>
          <w:tcPr>
            <w:tcW w:type="dxa" w:w="28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Oui (Express)</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b/>
                <w:bCs/>
                <w:color w:val="00853E"/>
              </w:rPr>
              <w:t xml:space="preserve">NOUS</w:t>
            </w:r>
          </w:p>
        </w:tc>
      </w:tr>
      <w:tr>
        <w:tc>
          <w:tcPr>
            <w:tcW w:type="dxa" w:w="1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Commission</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0 %</w:t>
            </w:r>
          </w:p>
        </w:tc>
        <w:tc>
          <w:tcPr>
            <w:tcW w:type="dxa" w:w="13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0 %</w:t>
            </w:r>
          </w:p>
        </w:tc>
        <w:tc>
          <w:tcPr>
            <w:tcW w:type="dxa" w:w="28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0 %→progressif</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b/>
                <w:bCs/>
                <w:color w:val="B7791F"/>
              </w:rPr>
              <w:t xml:space="preserve">JIJI/FB</w:t>
            </w:r>
          </w:p>
        </w:tc>
      </w:tr>
      <w:tr>
        <w:tc>
          <w:tcPr>
            <w:tcW w:type="dxa" w:w="1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Volume d’annonces</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Très élevé</w:t>
            </w:r>
          </w:p>
        </w:tc>
        <w:tc>
          <w:tcPr>
            <w:tcW w:type="dxa" w:w="13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Massif</w:t>
            </w:r>
          </w:p>
        </w:tc>
        <w:tc>
          <w:tcPr>
            <w:tcW w:type="dxa" w:w="28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Faible (MVP)</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b/>
                <w:bCs/>
                <w:color w:val="B7791F"/>
              </w:rPr>
              <w:t xml:space="preserve">JIJI/FB</w:t>
            </w:r>
          </w:p>
        </w:tc>
      </w:tr>
      <w:tr>
        <w:tc>
          <w:tcPr>
            <w:tcW w:type="dxa" w:w="1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Fidélité acheteur</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Aucune</w:t>
            </w:r>
          </w:p>
        </w:tc>
        <w:tc>
          <w:tcPr>
            <w:tcW w:type="dxa" w:w="13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Aucune</w:t>
            </w:r>
          </w:p>
        </w:tc>
        <w:tc>
          <w:tcPr>
            <w:tcW w:type="dxa" w:w="28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Bronze-Platine</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b/>
                <w:bCs/>
                <w:color w:val="00853E"/>
              </w:rPr>
              <w:t xml:space="preserve">NOUS</w:t>
            </w:r>
          </w:p>
        </w:tc>
      </w:tr>
      <w:tr>
        <w:tc>
          <w:tcPr>
            <w:tcW w:type="dxa" w:w="1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Dashboard vendeur</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Basique</w:t>
            </w:r>
          </w:p>
        </w:tc>
        <w:tc>
          <w:tcPr>
            <w:tcW w:type="dxa" w:w="13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Inexistant</w:t>
            </w:r>
          </w:p>
        </w:tc>
        <w:tc>
          <w:tcPr>
            <w:tcW w:type="dxa" w:w="28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Complet (analytics, wallet)</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b/>
                <w:bCs/>
                <w:color w:val="00853E"/>
              </w:rPr>
              <w:t xml:space="preserve">NOUS</w:t>
            </w:r>
          </w:p>
        </w:tc>
      </w:tr>
      <w:tr>
        <w:tc>
          <w:tcPr>
            <w:tcW w:type="dxa" w:w="1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IA intégrée</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Non</w:t>
            </w:r>
          </w:p>
        </w:tc>
        <w:tc>
          <w:tcPr>
            <w:tcW w:type="dxa" w:w="13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Non</w:t>
            </w:r>
          </w:p>
        </w:tc>
        <w:tc>
          <w:tcPr>
            <w:tcW w:type="dxa" w:w="28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Groq + Whisper + scraper</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b/>
                <w:bCs/>
                <w:color w:val="00853E"/>
              </w:rPr>
              <w:t xml:space="preserve">NOUS</w:t>
            </w:r>
          </w:p>
        </w:tc>
      </w:tr>
      <w:tr>
        <w:tc>
          <w:tcPr>
            <w:tcW w:type="dxa" w:w="1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SEO annonces</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Très fort</w:t>
            </w:r>
          </w:p>
        </w:tc>
        <w:tc>
          <w:tcPr>
            <w:tcW w:type="dxa" w:w="13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Faible</w:t>
            </w:r>
          </w:p>
        </w:tc>
        <w:tc>
          <w:tcPr>
            <w:tcW w:type="dxa" w:w="28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En construction (§12)</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b/>
                <w:bCs/>
                <w:color w:val="B7791F"/>
              </w:rPr>
              <w:t xml:space="preserve">CHANTIER</w:t>
            </w:r>
          </w:p>
        </w:tc>
      </w:tr>
    </w:tbl>
    <w:tbl>
      <w:tblPr>
        <w:tblW w:type="dxa" w:w="9026"/>
        <w:tblBorders>
          <w:top w:val="single" w:color="E3F2EA" w:sz="1"/>
          <w:left w:val="single" w:color="00853E" w:sz="18"/>
          <w:bottom w:val="single" w:color="E3F2EA" w:sz="1"/>
          <w:right w:val="single" w:color="E3F2EA" w:sz="1"/>
          <w:insideH w:val="single" w:color="auto" w:sz="4"/>
          <w:insideV w:val="single" w:color="auto" w:sz="4"/>
        </w:tblBorders>
      </w:tblPr>
      <w:tblGrid>
        <w:gridCol w:w="9026"/>
      </w:tblGrid>
      <w:tr>
        <w:tc>
          <w:tcPr>
            <w:shd w:fill="E3F2EA" w:val="clear"/>
            <w:tcMar>
              <w:top w:type="dxa" w:w="120"/>
              <w:left w:type="dxa" w:w="200"/>
              <w:bottom w:type="dxa" w:w="120"/>
              <w:right w:type="dxa" w:w="160"/>
            </w:tcMar>
          </w:tcPr>
          <w:p>
            <w:pPr>
              <w:spacing w:after="80"/>
            </w:pPr>
            <w:r>
              <w:rPr>
                <w:rFonts w:ascii="Arial" w:cs="Arial" w:eastAsia="Arial" w:hAnsi="Arial"/>
                <w:b/>
                <w:bCs/>
                <w:color w:val="00853E"/>
                <w:sz w:val="22"/>
                <w:szCs w:val="22"/>
              </w:rPr>
              <w:t xml:space="preserve">Positionnement stratégique (OODA — Orient)</w:t>
            </w:r>
          </w:p>
          <w:p>
            <w:pPr>
              <w:spacing w:after="60" w:line="264"/>
            </w:pPr>
            <w:r>
              <w:rPr>
                <w:rFonts w:ascii="Arial" w:cs="Arial" w:eastAsia="Arial" w:hAnsi="Arial"/>
                <w:b/>
                <w:bCs/>
              </w:rPr>
              <w:t xml:space="preserve">NEXUS n’est PAS « un Jiji sénégalais ». </w:t>
            </w:r>
            <w:r>
              <w:rPr>
                <w:rFonts w:ascii="Arial" w:cs="Arial" w:eastAsia="Arial" w:hAnsi="Arial"/>
              </w:rPr>
              <w:t xml:space="preserve">NEXUS est la première plateforme de commerce sécurisé d’Afrique de l’Ouest — là où Jiji est une simple mise en relation sans garantie, NEXUS propose une transaction garantie de bout en bout. Positionnement premium, pas mass-market : exactement ce dont le marché a besoin pour dépasser les arnaques chroniques.</w:t>
            </w:r>
          </w:p>
          <w:p>
            <w:pPr>
              <w:spacing w:after="60" w:line="264"/>
            </w:pPr>
            <w:r>
              <w:rPr>
                <w:rFonts w:ascii="Arial" w:cs="Arial" w:eastAsia="Arial" w:hAnsi="Arial"/>
                <w:b/>
                <w:bCs/>
              </w:rPr>
              <w:t xml:space="preserve">Segment prioritaire : </w:t>
            </w:r>
            <w:r>
              <w:rPr>
                <w:rFonts w:ascii="Arial" w:cs="Arial" w:eastAsia="Arial" w:hAnsi="Arial"/>
              </w:rPr>
              <w:t xml:space="preserve">les vendeurs informels de Dakar (Sandaga, HLM, Tilène) qui ont déjà perdu de l’argent sur des arnaques. Ce sont les early adopters les plus motivés — pas les tech-savvy, les victimes de fraude.</w:t>
            </w:r>
          </w:p>
        </w:tc>
      </w:tr>
    </w:tbl>
    <w:p>
      <w:pPr>
        <w:pStyle w:val="Heading1"/>
        <w:pageBreakBefore/>
        <w:spacing w:after="160" w:before="320"/>
      </w:pPr>
      <w:r>
        <w:rPr>
          <w:rFonts w:ascii="Arial" w:cs="Arial" w:eastAsia="Arial" w:hAnsi="Arial"/>
          <w:b/>
          <w:bCs/>
          <w:color w:val="00853E"/>
          <w:sz w:val="30"/>
          <w:szCs w:val="30"/>
        </w:rPr>
        <w:t xml:space="preserve">5. Modèle économique — architecture de revenus</w:t>
      </w:r>
    </w:p>
    <w:p>
      <w:pPr>
        <w:spacing w:after="120" w:line="276"/>
      </w:pPr>
      <w:r>
        <w:rPr>
          <w:rFonts w:ascii="Arial" w:cs="Arial" w:eastAsia="Arial" w:hAnsi="Arial"/>
        </w:rPr>
        <w:t xml:space="preserve">NEXUS dispose d’une architecture de revenus en 4 niveaux (Tiers), conçue pour générer des revenus progressivement sans freiner la croissance initiale. Les Tiers 2 à 4 s’activent uniquement quand la base utilisateurs est suffisante.</w:t>
      </w:r>
    </w:p>
    <w:p>
      <w:pPr>
        <w:pStyle w:val="Heading2"/>
        <w:spacing w:after="120" w:before="240"/>
      </w:pPr>
      <w:r>
        <w:rPr>
          <w:rFonts w:ascii="Arial" w:cs="Arial" w:eastAsia="Arial" w:hAnsi="Arial"/>
          <w:b/>
          <w:bCs/>
          <w:color w:val="1F2937"/>
          <w:sz w:val="25"/>
          <w:szCs w:val="25"/>
        </w:rPr>
        <w:t xml:space="preserve">5.1 Tier 1 — Commission sur ventes (barème progressif)</w:t>
      </w:r>
    </w:p>
    <w:p>
      <w:pPr>
        <w:spacing w:after="120" w:line="276"/>
      </w:pPr>
      <w:r>
        <w:rPr>
          <w:rFonts w:ascii="Arial" w:cs="Arial" w:eastAsia="Arial" w:hAnsi="Arial"/>
        </w:rPr>
        <w:t xml:space="preserve">Moteur principal. Pour chaque vente livrée avec succès, NEXUS prélève une commission selon le barème progressif (§3.1). Le tableau ci-dessous illustre le régime nominal à 15 % une fois la base établie.</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3000"/>
        <w:gridCol w:w="1900"/>
        <w:gridCol w:w="2000"/>
        <w:gridCol w:w="2126"/>
      </w:tblGrid>
      <w:tr>
        <w:trPr>
          <w:tblHeader/>
        </w:trPr>
        <w:tc>
          <w:tcPr>
            <w:tcW w:type="dxa" w:w="30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Panier moyen</w:t>
            </w:r>
          </w:p>
        </w:tc>
        <w:tc>
          <w:tcPr>
            <w:tcW w:type="dxa" w:w="19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Commission 15 %</w:t>
            </w:r>
          </w:p>
        </w:tc>
        <w:tc>
          <w:tcPr>
            <w:tcW w:type="dxa" w:w="20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Net vendeur</w:t>
            </w:r>
          </w:p>
        </w:tc>
        <w:tc>
          <w:tcPr>
            <w:tcW w:type="dxa" w:w="21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NEXUS / mois (50 ventes)</w:t>
            </w:r>
          </w:p>
        </w:tc>
      </w:tr>
      <w:tr>
        <w:tc>
          <w:tcPr>
            <w:tcW w:type="dxa" w:w="30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5 000 FCFA (petit article)</w:t>
            </w:r>
          </w:p>
        </w:tc>
        <w:tc>
          <w:tcPr>
            <w:tcW w:type="dxa" w:w="1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750 FCFA</w:t>
            </w:r>
          </w:p>
        </w:tc>
        <w:tc>
          <w:tcPr>
            <w:tcW w:type="dxa" w:w="20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4 250 FCFA</w:t>
            </w:r>
          </w:p>
        </w:tc>
        <w:tc>
          <w:tcPr>
            <w:tcW w:type="dxa" w:w="21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37 500 FCFA</w:t>
            </w:r>
          </w:p>
        </w:tc>
      </w:tr>
      <w:tr>
        <w:tc>
          <w:tcPr>
            <w:tcW w:type="dxa" w:w="30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15 000 FCFA (téléphone)</w:t>
            </w:r>
          </w:p>
        </w:tc>
        <w:tc>
          <w:tcPr>
            <w:tcW w:type="dxa" w:w="1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2 250 FCFA</w:t>
            </w:r>
          </w:p>
        </w:tc>
        <w:tc>
          <w:tcPr>
            <w:tcW w:type="dxa" w:w="20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12 750 FCFA</w:t>
            </w:r>
          </w:p>
        </w:tc>
        <w:tc>
          <w:tcPr>
            <w:tcW w:type="dxa" w:w="21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112 500 FCFA</w:t>
            </w:r>
          </w:p>
        </w:tc>
      </w:tr>
      <w:tr>
        <w:tc>
          <w:tcPr>
            <w:tcW w:type="dxa" w:w="30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35 000 FCFA (électroménager)</w:t>
            </w:r>
          </w:p>
        </w:tc>
        <w:tc>
          <w:tcPr>
            <w:tcW w:type="dxa" w:w="1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5 250 FCFA</w:t>
            </w:r>
          </w:p>
        </w:tc>
        <w:tc>
          <w:tcPr>
            <w:tcW w:type="dxa" w:w="20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29 750 FCFA</w:t>
            </w:r>
          </w:p>
        </w:tc>
        <w:tc>
          <w:tcPr>
            <w:tcW w:type="dxa" w:w="21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262 500 FCFA</w:t>
            </w:r>
          </w:p>
        </w:tc>
      </w:tr>
      <w:tr>
        <w:tc>
          <w:tcPr>
            <w:tcW w:type="dxa" w:w="30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80 000 FCFA (ordinateur)</w:t>
            </w:r>
          </w:p>
        </w:tc>
        <w:tc>
          <w:tcPr>
            <w:tcW w:type="dxa" w:w="1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12 000 FCFA</w:t>
            </w:r>
          </w:p>
        </w:tc>
        <w:tc>
          <w:tcPr>
            <w:tcW w:type="dxa" w:w="20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68 000 FCFA</w:t>
            </w:r>
          </w:p>
        </w:tc>
        <w:tc>
          <w:tcPr>
            <w:tcW w:type="dxa" w:w="21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600 000 FCFA</w:t>
            </w:r>
          </w:p>
        </w:tc>
      </w:tr>
      <w:tr>
        <w:tc>
          <w:tcPr>
            <w:tcW w:type="dxa" w:w="30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200 000 FCFA (mobilier)</w:t>
            </w:r>
          </w:p>
        </w:tc>
        <w:tc>
          <w:tcPr>
            <w:tcW w:type="dxa" w:w="1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30 000 FCFA</w:t>
            </w:r>
          </w:p>
        </w:tc>
        <w:tc>
          <w:tcPr>
            <w:tcW w:type="dxa" w:w="20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170 000 FCFA</w:t>
            </w:r>
          </w:p>
        </w:tc>
        <w:tc>
          <w:tcPr>
            <w:tcW w:type="dxa" w:w="21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1 500 000 FCFA</w:t>
            </w:r>
          </w:p>
        </w:tc>
      </w:tr>
    </w:tbl>
    <w:p>
      <w:pPr>
        <w:spacing w:after="120"/>
      </w:pPr>
      <w:r>
        <w:rPr>
          <w:rFonts w:ascii="Arial" w:cs="Arial" w:eastAsia="Arial" w:hAnsi="Arial"/>
          <w:i/>
          <w:iCs/>
          <w:color w:val="6B7280"/>
          <w:sz w:val="18"/>
          <w:szCs w:val="18"/>
        </w:rPr>
        <w:t xml:space="preserve">* Simulation à 50 ventes/mois (objectif Phase 2), régime nominal.</w:t>
      </w:r>
    </w:p>
    <w:p>
      <w:pPr>
        <w:pStyle w:val="Heading2"/>
        <w:spacing w:after="120" w:before="240"/>
      </w:pPr>
      <w:r>
        <w:rPr>
          <w:rFonts w:ascii="Arial" w:cs="Arial" w:eastAsia="Arial" w:hAnsi="Arial"/>
          <w:b/>
          <w:bCs/>
          <w:color w:val="1F2937"/>
          <w:sz w:val="25"/>
          <w:szCs w:val="25"/>
        </w:rPr>
        <w:t xml:space="preserve">5.2 Tier 2 — Visibilité payante : Boost &amp; TOP annonces</w:t>
      </w:r>
    </w:p>
    <w:p>
      <w:pPr>
        <w:spacing w:after="120" w:line="276"/>
      </w:pPr>
      <w:r>
        <w:rPr>
          <w:rFonts w:ascii="Arial" w:cs="Arial" w:eastAsia="Arial" w:hAnsi="Arial"/>
        </w:rPr>
        <w:t xml:space="preserve">À activer à partir de ~200 vendeurs actifs (la compétition doit être réelle pour que le Boost ait de la valeur).</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1700"/>
        <w:gridCol w:w="900"/>
        <w:gridCol w:w="1500"/>
        <w:gridCol w:w="3026"/>
        <w:gridCol w:w="1900"/>
      </w:tblGrid>
      <w:tr>
        <w:trPr>
          <w:tblHeader/>
        </w:trPr>
        <w:tc>
          <w:tcPr>
            <w:tcW w:type="dxa" w:w="17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Forfait</w:t>
            </w:r>
          </w:p>
        </w:tc>
        <w:tc>
          <w:tcPr>
            <w:tcW w:type="dxa" w:w="9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Durée</w:t>
            </w:r>
          </w:p>
        </w:tc>
        <w:tc>
          <w:tcPr>
            <w:tcW w:type="dxa" w:w="15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Prix</w:t>
            </w:r>
          </w:p>
        </w:tc>
        <w:tc>
          <w:tcPr>
            <w:tcW w:type="dxa" w:w="30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Ce que ça donne</w:t>
            </w:r>
          </w:p>
        </w:tc>
        <w:tc>
          <w:tcPr>
            <w:tcW w:type="dxa" w:w="19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Cible</w:t>
            </w:r>
          </w:p>
        </w:tc>
      </w:tr>
      <w:tr>
        <w:tc>
          <w:tcPr>
            <w:tcW w:type="dxa" w:w="17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TOP Express</w:t>
            </w:r>
          </w:p>
        </w:tc>
        <w:tc>
          <w:tcPr>
            <w:tcW w:type="dxa" w:w="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 j</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500 FCFA</w:t>
            </w:r>
          </w:p>
        </w:tc>
        <w:tc>
          <w:tcPr>
            <w:tcW w:type="dxa" w:w="30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En tête de catégorie 3 j</w:t>
            </w:r>
          </w:p>
        </w:tc>
        <w:tc>
          <w:tcPr>
            <w:tcW w:type="dxa" w:w="1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Vente rapide</w:t>
            </w:r>
          </w:p>
        </w:tc>
      </w:tr>
      <w:tr>
        <w:tc>
          <w:tcPr>
            <w:tcW w:type="dxa" w:w="17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Boost Semaine</w:t>
            </w:r>
          </w:p>
        </w:tc>
        <w:tc>
          <w:tcPr>
            <w:tcW w:type="dxa" w:w="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7 j</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1 200 FCFA</w:t>
            </w:r>
          </w:p>
        </w:tc>
        <w:tc>
          <w:tcPr>
            <w:tcW w:type="dxa" w:w="30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Rafraîchissement 2×/jour</w:t>
            </w:r>
          </w:p>
        </w:tc>
        <w:tc>
          <w:tcPr>
            <w:tcW w:type="dxa" w:w="1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Vendeurs réguliers</w:t>
            </w:r>
          </w:p>
        </w:tc>
      </w:tr>
      <w:tr>
        <w:tc>
          <w:tcPr>
            <w:tcW w:type="dxa" w:w="17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Boost Mensuel</w:t>
            </w:r>
          </w:p>
        </w:tc>
        <w:tc>
          <w:tcPr>
            <w:tcW w:type="dxa" w:w="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30 j</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3 500 FCFA</w:t>
            </w:r>
          </w:p>
        </w:tc>
        <w:tc>
          <w:tcPr>
            <w:tcW w:type="dxa" w:w="30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Rafraîchissement /6 h + stats</w:t>
            </w:r>
          </w:p>
        </w:tc>
        <w:tc>
          <w:tcPr>
            <w:tcW w:type="dxa" w:w="1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Boutiques actives</w:t>
            </w:r>
          </w:p>
        </w:tc>
      </w:tr>
      <w:tr>
        <w:tc>
          <w:tcPr>
            <w:tcW w:type="dxa" w:w="17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Pro Mensuel</w:t>
            </w:r>
          </w:p>
        </w:tc>
        <w:tc>
          <w:tcPr>
            <w:tcW w:type="dxa" w:w="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30 j</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8 000 FCFA</w:t>
            </w:r>
          </w:p>
        </w:tc>
        <w:tc>
          <w:tcPr>
            <w:tcW w:type="dxa" w:w="30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TOP permanent + badge Pro</w:t>
            </w:r>
          </w:p>
        </w:tc>
        <w:tc>
          <w:tcPr>
            <w:tcW w:type="dxa" w:w="1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Pros / boutiques</w:t>
            </w:r>
          </w:p>
        </w:tc>
      </w:tr>
      <w:tr>
        <w:tc>
          <w:tcPr>
            <w:tcW w:type="dxa" w:w="17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Pro Annuel</w:t>
            </w:r>
          </w:p>
        </w:tc>
        <w:tc>
          <w:tcPr>
            <w:tcW w:type="dxa" w:w="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365 j</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75 000 FCFA</w:t>
            </w:r>
          </w:p>
        </w:tc>
        <w:tc>
          <w:tcPr>
            <w:tcW w:type="dxa" w:w="30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Pro × 12 (2 mois offerts)</w:t>
            </w:r>
          </w:p>
        </w:tc>
        <w:tc>
          <w:tcPr>
            <w:tcW w:type="dxa" w:w="1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Boutiques établies</w:t>
            </w:r>
          </w:p>
        </w:tc>
      </w:tr>
    </w:tbl>
    <w:p>
      <w:pPr>
        <w:pStyle w:val="Heading2"/>
        <w:spacing w:after="120" w:before="240"/>
      </w:pPr>
      <w:r>
        <w:rPr>
          <w:rFonts w:ascii="Arial" w:cs="Arial" w:eastAsia="Arial" w:hAnsi="Arial"/>
          <w:b/>
          <w:bCs/>
          <w:color w:val="1F2937"/>
          <w:sz w:val="25"/>
          <w:szCs w:val="25"/>
        </w:rPr>
        <w:t xml:space="preserve">5.3 Tier 3 — Abonnements « NEXUS Pro »</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3200"/>
        <w:gridCol w:w="4326"/>
        <w:gridCol w:w="1500"/>
      </w:tblGrid>
      <w:tr>
        <w:trPr>
          <w:tblHeader/>
        </w:trPr>
        <w:tc>
          <w:tcPr>
            <w:tcW w:type="dxa" w:w="32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Feature Pro</w:t>
            </w:r>
          </w:p>
        </w:tc>
        <w:tc>
          <w:tcPr>
            <w:tcW w:type="dxa" w:w="43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Valeur vendeur</w:t>
            </w:r>
          </w:p>
        </w:tc>
        <w:tc>
          <w:tcPr>
            <w:tcW w:type="dxa" w:w="15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Sur Jiji ?</w:t>
            </w:r>
          </w:p>
        </w:tc>
      </w:tr>
      <w:tr>
        <w:tc>
          <w:tcPr>
            <w:tcW w:type="dxa" w:w="32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Badge « Vendeur Vérifié »</w:t>
            </w:r>
          </w:p>
        </w:tc>
        <w:tc>
          <w:tcPr>
            <w:tcW w:type="dxa" w:w="43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Confiance +40 % conversions</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Payant</w:t>
            </w:r>
          </w:p>
        </w:tc>
      </w:tr>
      <w:tr>
        <w:tc>
          <w:tcPr>
            <w:tcW w:type="dxa" w:w="32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Dashboard analytics avancé</w:t>
            </w:r>
          </w:p>
        </w:tc>
        <w:tc>
          <w:tcPr>
            <w:tcW w:type="dxa" w:w="43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Vues, conversion, CA/produit</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Non</w:t>
            </w:r>
          </w:p>
        </w:tc>
      </w:tr>
      <w:tr>
        <w:tc>
          <w:tcPr>
            <w:tcW w:type="dxa" w:w="32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Commission réduite à 10 %</w:t>
            </w:r>
          </w:p>
        </w:tc>
        <w:tc>
          <w:tcPr>
            <w:tcW w:type="dxa" w:w="43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Économie directe par vente</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Non</w:t>
            </w:r>
          </w:p>
        </w:tc>
      </w:tr>
      <w:tr>
        <w:tc>
          <w:tcPr>
            <w:tcW w:type="dxa" w:w="32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Priorité résultats de recherche</w:t>
            </w:r>
          </w:p>
        </w:tc>
        <w:tc>
          <w:tcPr>
            <w:tcW w:type="dxa" w:w="43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Visibilité permanente</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Payant</w:t>
            </w:r>
          </w:p>
        </w:tc>
      </w:tr>
      <w:tr>
        <w:tc>
          <w:tcPr>
            <w:tcW w:type="dxa" w:w="32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Import CSV illimité + scraper IA</w:t>
            </w:r>
          </w:p>
        </w:tc>
        <w:tc>
          <w:tcPr>
            <w:tcW w:type="dxa" w:w="43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100 produits en 5 min</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Non</w:t>
            </w:r>
          </w:p>
        </w:tc>
      </w:tr>
      <w:tr>
        <w:tc>
          <w:tcPr>
            <w:tcW w:type="dxa" w:w="32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Support WhatsApp dédié</w:t>
            </w:r>
          </w:p>
        </w:tc>
        <w:tc>
          <w:tcPr>
            <w:tcW w:type="dxa" w:w="43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Résolution rapide</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Inexistant</w:t>
            </w:r>
          </w:p>
        </w:tc>
      </w:tr>
      <w:tr>
        <w:tc>
          <w:tcPr>
            <w:tcW w:type="dxa" w:w="32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Multi-boutiques (jusqu’à 3)</w:t>
            </w:r>
          </w:p>
        </w:tc>
        <w:tc>
          <w:tcPr>
            <w:tcW w:type="dxa" w:w="43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Plusieurs activités, 1 compte</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Non</w:t>
            </w:r>
          </w:p>
        </w:tc>
      </w:tr>
    </w:tbl>
    <w:p>
      <w:pPr>
        <w:pStyle w:val="Heading2"/>
        <w:spacing w:after="120" w:before="240"/>
      </w:pPr>
      <w:r>
        <w:rPr>
          <w:rFonts w:ascii="Arial" w:cs="Arial" w:eastAsia="Arial" w:hAnsi="Arial"/>
          <w:b/>
          <w:bCs/>
          <w:color w:val="1F2937"/>
          <w:sz w:val="25"/>
          <w:szCs w:val="25"/>
        </w:rPr>
        <w:t xml:space="preserve">5.4 Tier 4 — Publicité display &amp; partenariats B2B / fintech</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2900"/>
        <w:gridCol w:w="3300"/>
        <w:gridCol w:w="2826"/>
      </w:tblGrid>
      <w:tr>
        <w:trPr>
          <w:tblHeader/>
        </w:trPr>
        <w:tc>
          <w:tcPr>
            <w:tcW w:type="dxa" w:w="29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Secteur partenaire</w:t>
            </w:r>
          </w:p>
        </w:tc>
        <w:tc>
          <w:tcPr>
            <w:tcW w:type="dxa" w:w="33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Modèle de revenu</w:t>
            </w:r>
          </w:p>
        </w:tc>
        <w:tc>
          <w:tcPr>
            <w:tcW w:type="dxa" w:w="28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Potentiel (100 leads/mois)</w:t>
            </w:r>
          </w:p>
        </w:tc>
      </w:tr>
      <w:tr>
        <w:tc>
          <w:tcPr>
            <w:tcW w:type="dxa" w:w="2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Wave Credit / Orange Finance</w:t>
            </w:r>
          </w:p>
        </w:tc>
        <w:tc>
          <w:tcPr>
            <w:tcW w:type="dxa" w:w="33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BNPL sur commandes &gt; 50 K</w:t>
            </w:r>
          </w:p>
        </w:tc>
        <w:tc>
          <w:tcPr>
            <w:tcW w:type="dxa" w:w="28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50 000–200 000 FCFA</w:t>
            </w:r>
          </w:p>
        </w:tc>
      </w:tr>
      <w:tr>
        <w:tc>
          <w:tcPr>
            <w:tcW w:type="dxa" w:w="2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Assurance (NSIA, Allianz)</w:t>
            </w:r>
          </w:p>
        </w:tc>
        <w:tc>
          <w:tcPr>
            <w:tcW w:type="dxa" w:w="33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Lead qualifié vendeur véhicule</w:t>
            </w:r>
          </w:p>
        </w:tc>
        <w:tc>
          <w:tcPr>
            <w:tcW w:type="dxa" w:w="28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30 000–150 000 FCFA</w:t>
            </w:r>
          </w:p>
        </w:tc>
      </w:tr>
      <w:tr>
        <w:tc>
          <w:tcPr>
            <w:tcW w:type="dxa" w:w="2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Agences immobilières</w:t>
            </w:r>
          </w:p>
        </w:tc>
        <w:tc>
          <w:tcPr>
            <w:tcW w:type="dxa" w:w="33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Mise en relation annonce immo</w:t>
            </w:r>
          </w:p>
        </w:tc>
        <w:tc>
          <w:tcPr>
            <w:tcW w:type="dxa" w:w="28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100 000–500 000 FCFA</w:t>
            </w:r>
          </w:p>
        </w:tc>
      </w:tr>
      <w:tr>
        <w:tc>
          <w:tcPr>
            <w:tcW w:type="dxa" w:w="2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Opérateurs logistiques</w:t>
            </w:r>
          </w:p>
        </w:tc>
        <w:tc>
          <w:tcPr>
            <w:tcW w:type="dxa" w:w="33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 sur chaque livraison</w:t>
            </w:r>
          </w:p>
        </w:tc>
        <w:tc>
          <w:tcPr>
            <w:tcW w:type="dxa" w:w="28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20 000–100 000 FCFA</w:t>
            </w:r>
          </w:p>
        </w:tc>
      </w:tr>
    </w:tbl>
    <w:p>
      <w:pPr>
        <w:pStyle w:val="Heading2"/>
        <w:spacing w:after="120" w:before="240"/>
      </w:pPr>
      <w:r>
        <w:rPr>
          <w:rFonts w:ascii="Arial" w:cs="Arial" w:eastAsia="Arial" w:hAnsi="Arial"/>
          <w:b/>
          <w:bCs/>
          <w:color w:val="1F2937"/>
          <w:sz w:val="25"/>
          <w:szCs w:val="25"/>
        </w:rPr>
        <w:t xml:space="preserve">5.5 Le programme Ambassadeur — moteur de croissance encadré</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1900"/>
        <w:gridCol w:w="2400"/>
        <w:gridCol w:w="3026"/>
        <w:gridCol w:w="1700"/>
      </w:tblGrid>
      <w:tr>
        <w:trPr>
          <w:tblHeader/>
        </w:trPr>
        <w:tc>
          <w:tcPr>
            <w:tcW w:type="dxa" w:w="19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Niveau</w:t>
            </w:r>
          </w:p>
        </w:tc>
        <w:tc>
          <w:tcPr>
            <w:tcW w:type="dxa" w:w="24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Commission</w:t>
            </w:r>
          </w:p>
        </w:tc>
        <w:tc>
          <w:tcPr>
            <w:tcW w:type="dxa" w:w="30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Avantages</w:t>
            </w:r>
          </w:p>
        </w:tc>
        <w:tc>
          <w:tcPr>
            <w:tcW w:type="dxa" w:w="17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Net NEXUS</w:t>
            </w:r>
          </w:p>
        </w:tc>
      </w:tr>
      <w:tr>
        <w:tc>
          <w:tcPr>
            <w:tcW w:type="dxa" w:w="1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Bronze (0-50 K)</w:t>
            </w:r>
          </w:p>
        </w:tc>
        <w:tc>
          <w:tcPr>
            <w:tcW w:type="dxa" w:w="24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5 % / vente filleul</w:t>
            </w:r>
          </w:p>
        </w:tc>
        <w:tc>
          <w:tcPr>
            <w:tcW w:type="dxa" w:w="30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Cashback Wave/OM mensuel</w:t>
            </w:r>
          </w:p>
        </w:tc>
        <w:tc>
          <w:tcPr>
            <w:tcW w:type="dxa" w:w="17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10 %</w:t>
            </w:r>
          </w:p>
        </w:tc>
      </w:tr>
      <w:tr>
        <w:tc>
          <w:tcPr>
            <w:tcW w:type="dxa" w:w="1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Argent (50-200 K)</w:t>
            </w:r>
          </w:p>
        </w:tc>
        <w:tc>
          <w:tcPr>
            <w:tcW w:type="dxa" w:w="24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6 % / vente</w:t>
            </w:r>
          </w:p>
        </w:tc>
        <w:tc>
          <w:tcPr>
            <w:tcW w:type="dxa" w:w="30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Badge + priorité support</w:t>
            </w:r>
          </w:p>
        </w:tc>
        <w:tc>
          <w:tcPr>
            <w:tcW w:type="dxa" w:w="17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9 %</w:t>
            </w:r>
          </w:p>
        </w:tc>
      </w:tr>
      <w:tr>
        <w:tc>
          <w:tcPr>
            <w:tcW w:type="dxa" w:w="1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Or (200-500 K)</w:t>
            </w:r>
          </w:p>
        </w:tc>
        <w:tc>
          <w:tcPr>
            <w:tcW w:type="dxa" w:w="24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7,5 % + bonus 100 K</w:t>
            </w:r>
          </w:p>
        </w:tc>
        <w:tc>
          <w:tcPr>
            <w:tcW w:type="dxa" w:w="30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Badge + Pro gratuit</w:t>
            </w:r>
          </w:p>
        </w:tc>
        <w:tc>
          <w:tcPr>
            <w:tcW w:type="dxa" w:w="17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7,5 %</w:t>
            </w:r>
          </w:p>
        </w:tc>
      </w:tr>
      <w:tr>
        <w:tc>
          <w:tcPr>
            <w:tcW w:type="dxa" w:w="1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Platine (500 K+)</w:t>
            </w:r>
          </w:p>
        </w:tc>
        <w:tc>
          <w:tcPr>
            <w:tcW w:type="dxa" w:w="24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10 % + partenariat</w:t>
            </w:r>
          </w:p>
        </w:tc>
        <w:tc>
          <w:tcPr>
            <w:tcW w:type="dxa" w:w="30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Co-branding + contrat</w:t>
            </w:r>
          </w:p>
        </w:tc>
        <w:tc>
          <w:tcPr>
            <w:tcW w:type="dxa" w:w="17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5 % + visibilité</w:t>
            </w:r>
          </w:p>
        </w:tc>
      </w:tr>
    </w:tbl>
    <w:tbl>
      <w:tblPr>
        <w:tblW w:type="dxa" w:w="9026"/>
        <w:tblBorders>
          <w:top w:val="single" w:color="FBF3E2" w:sz="1"/>
          <w:left w:val="single" w:color="B7791F" w:sz="18"/>
          <w:bottom w:val="single" w:color="FBF3E2" w:sz="1"/>
          <w:right w:val="single" w:color="FBF3E2" w:sz="1"/>
          <w:insideH w:val="single" w:color="auto" w:sz="4"/>
          <w:insideV w:val="single" w:color="auto" w:sz="4"/>
        </w:tblBorders>
      </w:tblPr>
      <w:tblGrid>
        <w:gridCol w:w="9026"/>
      </w:tblGrid>
      <w:tr>
        <w:tc>
          <w:tcPr>
            <w:shd w:fill="FBF3E2" w:val="clear"/>
            <w:tcMar>
              <w:top w:type="dxa" w:w="120"/>
              <w:left w:type="dxa" w:w="200"/>
              <w:bottom w:type="dxa" w:w="120"/>
              <w:right w:type="dxa" w:w="160"/>
            </w:tcMar>
          </w:tcPr>
          <w:p>
            <w:pPr>
              <w:spacing w:after="80"/>
            </w:pPr>
            <w:r>
              <w:rPr>
                <w:rFonts w:ascii="Arial" w:cs="Arial" w:eastAsia="Arial" w:hAnsi="Arial"/>
                <w:b/>
                <w:bCs/>
                <w:color w:val="B7791F"/>
                <w:sz w:val="22"/>
                <w:szCs w:val="22"/>
              </w:rPr>
              <w:t xml:space="preserve">Gouvernance ambassadeurs (PM-07 — éviter la dépendance)</w:t>
            </w:r>
          </w:p>
          <w:p>
            <w:pPr>
              <w:spacing w:after="60" w:line="264"/>
            </w:pPr>
            <w:r>
              <w:rPr>
                <w:rFonts w:ascii="Arial" w:cs="Arial" w:eastAsia="Arial" w:hAnsi="Arial"/>
                <w:b/>
                <w:bCs/>
              </w:rPr>
              <w:t xml:space="preserve">Plafonner chaque ambassadeur à 20 % maximum du GMV total</w:t>
            </w:r>
            <w:r>
              <w:rPr>
                <w:rFonts w:ascii="Arial" w:cs="Arial" w:eastAsia="Arial" w:hAnsi="Arial"/>
              </w:rPr>
              <w:t xml:space="preserve"> — diversifier activement le réseau.</w:t>
            </w:r>
          </w:p>
          <w:p>
            <w:pPr>
              <w:spacing w:after="60" w:line="264"/>
            </w:pPr>
            <w:r>
              <w:rPr>
                <w:rFonts w:ascii="Arial" w:cs="Arial" w:eastAsia="Arial" w:hAnsi="Arial"/>
                <w:b/>
                <w:bCs/>
              </w:rPr>
              <w:t xml:space="preserve">Contrats formels</w:t>
            </w:r>
            <w:r>
              <w:rPr>
                <w:rFonts w:ascii="Arial" w:cs="Arial" w:eastAsia="Arial" w:hAnsi="Arial"/>
              </w:rPr>
              <w:t xml:space="preserve"> avec clause de non-concurrence et préavis de 6 mois.</w:t>
            </w:r>
          </w:p>
          <w:p>
            <w:pPr>
              <w:spacing w:after="60" w:line="264"/>
            </w:pPr>
            <w:r>
              <w:rPr>
                <w:rFonts w:ascii="Arial" w:cs="Arial" w:eastAsia="Arial" w:hAnsi="Arial"/>
                <w:b/>
                <w:bCs/>
              </w:rPr>
              <w:t xml:space="preserve">Relation directe avec chaque boutique recrutée</w:t>
            </w:r>
            <w:r>
              <w:rPr>
                <w:rFonts w:ascii="Arial" w:cs="Arial" w:eastAsia="Arial" w:hAnsi="Arial"/>
              </w:rPr>
              <w:t xml:space="preserve"> (pas uniquement via l’ambassadeur).</w:t>
            </w:r>
          </w:p>
          <w:p>
            <w:pPr>
              <w:spacing w:after="60" w:line="264"/>
            </w:pPr>
            <w:r>
              <w:rPr>
                <w:rFonts w:ascii="Arial" w:cs="Arial" w:eastAsia="Arial" w:hAnsi="Arial"/>
                <w:b/>
                <w:bCs/>
              </w:rPr>
              <w:t xml:space="preserve">Incentives de fidélité long terme</w:t>
            </w:r>
            <w:r>
              <w:rPr>
                <w:rFonts w:ascii="Arial" w:cs="Arial" w:eastAsia="Arial" w:hAnsi="Arial"/>
              </w:rPr>
              <w:t xml:space="preserve"> (bons de souscription au capital pour les Platine).</w:t>
            </w:r>
          </w:p>
        </w:tc>
      </w:tr>
    </w:tbl>
    <w:p>
      <w:pPr>
        <w:spacing w:after="120" w:line="276"/>
      </w:pPr>
      <w:r>
        <w:rPr>
          <w:rFonts w:ascii="Arial" w:cs="Arial" w:eastAsia="Arial" w:hAnsi="Arial"/>
          <w:b/>
          <w:bCs/>
          <w:i/>
          <w:iCs/>
        </w:rPr>
        <w:t xml:space="preserve">Exemple : </w:t>
      </w:r>
      <w:r>
        <w:rPr>
          <w:rFonts w:ascii="Arial" w:cs="Arial" w:eastAsia="Arial" w:hAnsi="Arial"/>
          <w:i/>
          <w:iCs/>
        </w:rPr>
        <w:t xml:space="preserve">Moussa (Bronze) convainc 10 boutiques de mode à Sandaga, chacune réalisant 100 000 FCFA/mois. Il gagne 5 % × 1 000 000 = 50 000 FCFA/mois. NEXUS génère 10 % net = 100 000 FCFA grâce à lui.</w:t>
      </w:r>
    </w:p>
    <w:p>
      <w:pPr>
        <w:pStyle w:val="Heading1"/>
        <w:pageBreakBefore/>
        <w:spacing w:after="160" w:before="320"/>
      </w:pPr>
      <w:r>
        <w:rPr>
          <w:rFonts w:ascii="Arial" w:cs="Arial" w:eastAsia="Arial" w:hAnsi="Arial"/>
          <w:b/>
          <w:bCs/>
          <w:color w:val="00853E"/>
          <w:sz w:val="30"/>
          <w:szCs w:val="30"/>
        </w:rPr>
        <w:t xml:space="preserve">6. Cinq mécanismes de revenus passifs</w:t>
      </w:r>
    </w:p>
    <w:p>
      <w:pPr>
        <w:spacing w:after="120" w:line="276"/>
      </w:pPr>
      <w:r>
        <w:rPr>
          <w:rFonts w:ascii="Arial" w:cs="Arial" w:eastAsia="Arial" w:hAnsi="Arial"/>
        </w:rPr>
        <w:t xml:space="preserve">Cinq leviers de revenus passifs s’insèrent dans l’infrastructure existante (Cloudflare, Supabase, Groq, Green API, escrow) sans surcharger le développement. Deux sont activables sous 90 jours.</w:t>
      </w:r>
    </w:p>
    <w:p>
      <w:pPr>
        <w:pStyle w:val="Heading2"/>
        <w:spacing w:after="120" w:before="240"/>
      </w:pPr>
      <w:r>
        <w:rPr>
          <w:rFonts w:ascii="Arial" w:cs="Arial" w:eastAsia="Arial" w:hAnsi="Arial"/>
          <w:b/>
          <w:bCs/>
          <w:color w:val="1F2937"/>
          <w:sz w:val="25"/>
          <w:szCs w:val="25"/>
        </w:rPr>
        <w:t xml:space="preserve">6.A Affiliation B2B fournisseur (dashboard vendeur)</w:t>
      </w:r>
    </w:p>
    <w:p>
      <w:pPr>
        <w:spacing w:after="120" w:line="276"/>
      </w:pPr>
      <w:r>
        <w:rPr>
          <w:rFonts w:ascii="Arial" w:cs="Arial" w:eastAsia="Arial" w:hAnsi="Arial"/>
        </w:rPr>
        <w:t xml:space="preserve">Ajouter au dashboard un onglet « Équiper ma boutique » avec liens d’affiliation : emballages, imprimantes d’étiquettes, logiciels de caisse, ouverture de comptes pro. Commission 3-8 %, 100 % passif.</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3200"/>
        <w:gridCol w:w="2300"/>
        <w:gridCol w:w="3526"/>
      </w:tblGrid>
      <w:tr>
        <w:trPr>
          <w:tblHeader/>
        </w:trPr>
        <w:tc>
          <w:tcPr>
            <w:tcW w:type="dxa" w:w="32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Catégorie</w:t>
            </w:r>
          </w:p>
        </w:tc>
        <w:tc>
          <w:tcPr>
            <w:tcW w:type="dxa" w:w="23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Commission</w:t>
            </w:r>
          </w:p>
        </w:tc>
        <w:tc>
          <w:tcPr>
            <w:tcW w:type="dxa" w:w="35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Potentiel (100 vendeurs)</w:t>
            </w:r>
          </w:p>
        </w:tc>
      </w:tr>
      <w:tr>
        <w:tc>
          <w:tcPr>
            <w:tcW w:type="dxa" w:w="32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Emballages &amp; logistique</w:t>
            </w:r>
          </w:p>
        </w:tc>
        <w:tc>
          <w:tcPr>
            <w:tcW w:type="dxa" w:w="23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4-6 %</w:t>
            </w:r>
          </w:p>
        </w:tc>
        <w:tc>
          <w:tcPr>
            <w:tcW w:type="dxa" w:w="35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15 000–50 000 FCFA/mois</w:t>
            </w:r>
          </w:p>
        </w:tc>
      </w:tr>
      <w:tr>
        <w:tc>
          <w:tcPr>
            <w:tcW w:type="dxa" w:w="32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Matériel boutique</w:t>
            </w:r>
          </w:p>
        </w:tc>
        <w:tc>
          <w:tcPr>
            <w:tcW w:type="dxa" w:w="23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5-8 %</w:t>
            </w:r>
          </w:p>
        </w:tc>
        <w:tc>
          <w:tcPr>
            <w:tcW w:type="dxa" w:w="35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20 000–80 000 FCFA/mois</w:t>
            </w:r>
          </w:p>
        </w:tc>
      </w:tr>
      <w:tr>
        <w:tc>
          <w:tcPr>
            <w:tcW w:type="dxa" w:w="32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Services bancaires / fintech</w:t>
            </w:r>
          </w:p>
        </w:tc>
        <w:tc>
          <w:tcPr>
            <w:tcW w:type="dxa" w:w="23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Lead 2-5 K</w:t>
            </w:r>
          </w:p>
        </w:tc>
        <w:tc>
          <w:tcPr>
            <w:tcW w:type="dxa" w:w="35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10 000–30 000 FCFA/mois</w:t>
            </w:r>
          </w:p>
        </w:tc>
      </w:tr>
    </w:tbl>
    <w:p>
      <w:pPr>
        <w:pStyle w:val="Heading2"/>
        <w:spacing w:after="120" w:before="240"/>
      </w:pPr>
      <w:r>
        <w:rPr>
          <w:rFonts w:ascii="Arial" w:cs="Arial" w:eastAsia="Arial" w:hAnsi="Arial"/>
          <w:b/>
          <w:bCs/>
          <w:color w:val="1F2937"/>
          <w:sz w:val="25"/>
          <w:szCs w:val="25"/>
        </w:rPr>
        <w:t xml:space="preserve">6.B Markup logistique automatisé (API livraison)</w:t>
      </w:r>
    </w:p>
    <w:p>
      <w:pPr>
        <w:spacing w:after="120" w:line="276"/>
      </w:pPr>
      <w:r>
        <w:rPr>
          <w:rFonts w:ascii="Arial" w:cs="Arial" w:eastAsia="Arial" w:hAnsi="Arial"/>
        </w:rPr>
        <w:t xml:space="preserve">Intégrer un frais de service (et non une « commission visible ») : si l’API facture 1 500 FCFA, le frontend affiche 1 700 FCFA, la marge de 200 FCFA est gérée automatiquement. Valeur perçue supérieure : prix fixe et prévisible pour le vendeur.</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3000"/>
        <w:gridCol w:w="1900"/>
        <w:gridCol w:w="2100"/>
        <w:gridCol w:w="2026"/>
      </w:tblGrid>
      <w:tr>
        <w:trPr>
          <w:tblHeader/>
        </w:trPr>
        <w:tc>
          <w:tcPr>
            <w:tcW w:type="dxa" w:w="30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Zone</w:t>
            </w:r>
          </w:p>
        </w:tc>
        <w:tc>
          <w:tcPr>
            <w:tcW w:type="dxa" w:w="19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Coût API</w:t>
            </w:r>
          </w:p>
        </w:tc>
        <w:tc>
          <w:tcPr>
            <w:tcW w:type="dxa" w:w="21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Prix NEXUS</w:t>
            </w:r>
          </w:p>
        </w:tc>
        <w:tc>
          <w:tcPr>
            <w:tcW w:type="dxa" w:w="20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Marge / livraison</w:t>
            </w:r>
          </w:p>
        </w:tc>
      </w:tr>
      <w:tr>
        <w:tc>
          <w:tcPr>
            <w:tcW w:type="dxa" w:w="30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Dakar intra-muros</w:t>
            </w:r>
          </w:p>
        </w:tc>
        <w:tc>
          <w:tcPr>
            <w:tcW w:type="dxa" w:w="1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1 000-1 500</w:t>
            </w:r>
          </w:p>
        </w:tc>
        <w:tc>
          <w:tcPr>
            <w:tcW w:type="dxa" w:w="21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1 300-1 800</w:t>
            </w:r>
          </w:p>
        </w:tc>
        <w:tc>
          <w:tcPr>
            <w:tcW w:type="dxa" w:w="20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200-300 FCFA</w:t>
            </w:r>
          </w:p>
        </w:tc>
      </w:tr>
      <w:tr>
        <w:tc>
          <w:tcPr>
            <w:tcW w:type="dxa" w:w="30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Banlieue (Pikine, Guédiawaye)</w:t>
            </w:r>
          </w:p>
        </w:tc>
        <w:tc>
          <w:tcPr>
            <w:tcW w:type="dxa" w:w="1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1 500-2 000</w:t>
            </w:r>
          </w:p>
        </w:tc>
        <w:tc>
          <w:tcPr>
            <w:tcW w:type="dxa" w:w="21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1 900-2 500</w:t>
            </w:r>
          </w:p>
        </w:tc>
        <w:tc>
          <w:tcPr>
            <w:tcW w:type="dxa" w:w="20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300-500 FCFA</w:t>
            </w:r>
          </w:p>
        </w:tc>
      </w:tr>
      <w:tr>
        <w:tc>
          <w:tcPr>
            <w:tcW w:type="dxa" w:w="30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Autres régions</w:t>
            </w:r>
          </w:p>
        </w:tc>
        <w:tc>
          <w:tcPr>
            <w:tcW w:type="dxa" w:w="1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2 500-4 000</w:t>
            </w:r>
          </w:p>
        </w:tc>
        <w:tc>
          <w:tcPr>
            <w:tcW w:type="dxa" w:w="21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3 200-5 000</w:t>
            </w:r>
          </w:p>
        </w:tc>
        <w:tc>
          <w:tcPr>
            <w:tcW w:type="dxa" w:w="20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500-1 000 FCFA</w:t>
            </w:r>
          </w:p>
        </w:tc>
      </w:tr>
    </w:tbl>
    <w:p>
      <w:pPr>
        <w:spacing w:after="120" w:line="276"/>
      </w:pPr>
      <w:r>
        <w:rPr>
          <w:rFonts w:ascii="Arial" w:cs="Arial" w:eastAsia="Arial" w:hAnsi="Arial"/>
          <w:i/>
          <w:iCs/>
        </w:rPr>
        <w:t xml:space="preserve">Simulation : </w:t>
      </w:r>
      <w:r>
        <w:rPr>
          <w:rFonts w:ascii="Arial" w:cs="Arial" w:eastAsia="Arial" w:hAnsi="Arial"/>
          <w:i/>
          <w:iCs/>
        </w:rPr>
        <w:t xml:space="preserve">500 livraisons/mois × 400 FCFA = 200 000 FCFA/mois passifs ; à 2 000 livraisons (Mois 12) → 800 000 FCFA/mois.</w:t>
      </w:r>
    </w:p>
    <w:p>
      <w:pPr>
        <w:pStyle w:val="Heading2"/>
        <w:spacing w:after="120" w:before="240"/>
      </w:pPr>
      <w:r>
        <w:rPr>
          <w:rFonts w:ascii="Arial" w:cs="Arial" w:eastAsia="Arial" w:hAnsi="Arial"/>
          <w:b/>
          <w:bCs/>
          <w:color w:val="1F2937"/>
          <w:sz w:val="25"/>
          <w:szCs w:val="25"/>
        </w:rPr>
        <w:t xml:space="preserve">6.C Data as a Service (DaaS)</w:t>
      </w:r>
    </w:p>
    <w:p>
      <w:pPr>
        <w:spacing w:after="120" w:line="276"/>
      </w:pPr>
      <w:r>
        <w:rPr>
          <w:rFonts w:ascii="Arial" w:cs="Arial" w:eastAsia="Arial" w:hAnsi="Arial"/>
        </w:rPr>
        <w:t xml:space="preserve">NEXUS accumulera des données uniques sur les prix réels du marché informel sénégalais. </w:t>
      </w:r>
      <w:r>
        <w:rPr>
          <w:rFonts w:ascii="Arial" w:cs="Arial" w:eastAsia="Arial" w:hAnsi="Arial"/>
          <w:b/>
          <w:bCs/>
        </w:rPr>
        <w:t xml:space="preserve">Recommandation Red Team (RT-10) : </w:t>
      </w:r>
      <w:r>
        <w:rPr>
          <w:rFonts w:ascii="Arial" w:cs="Arial" w:eastAsia="Arial" w:hAnsi="Arial"/>
        </w:rPr>
        <w:t xml:space="preserve">ne pas attendre l’An 2 pour vendre — commencer dès maintenant à publier des rapports gratuits sur LinkedIn et auprès de l’UNACOIS/CCIAD pour bâtir la crédibilité nécessaire aux futurs contrats payants.</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3300"/>
        <w:gridCol w:w="2700"/>
        <w:gridCol w:w="3026"/>
      </w:tblGrid>
      <w:tr>
        <w:trPr>
          <w:tblHeader/>
        </w:trPr>
        <w:tc>
          <w:tcPr>
            <w:tcW w:type="dxa" w:w="33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Segment client</w:t>
            </w:r>
          </w:p>
        </w:tc>
        <w:tc>
          <w:tcPr>
            <w:tcW w:type="dxa" w:w="27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Donnée</w:t>
            </w:r>
          </w:p>
        </w:tc>
        <w:tc>
          <w:tcPr>
            <w:tcW w:type="dxa" w:w="30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Potentiel mensuel</w:t>
            </w:r>
          </w:p>
        </w:tc>
      </w:tr>
      <w:tr>
        <w:tc>
          <w:tcPr>
            <w:tcW w:type="dxa" w:w="33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Marques électronique (Samsung, Itel)</w:t>
            </w:r>
          </w:p>
        </w:tc>
        <w:tc>
          <w:tcPr>
            <w:tcW w:type="dxa" w:w="27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Prix occasion, tendances</w:t>
            </w:r>
          </w:p>
        </w:tc>
        <w:tc>
          <w:tcPr>
            <w:tcW w:type="dxa" w:w="30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150 000–500 000 FCFA</w:t>
            </w:r>
          </w:p>
        </w:tc>
      </w:tr>
      <w:tr>
        <w:tc>
          <w:tcPr>
            <w:tcW w:type="dxa" w:w="33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Banques &amp; assureurs (Ecobank, NSIA)</w:t>
            </w:r>
          </w:p>
        </w:tc>
        <w:tc>
          <w:tcPr>
            <w:tcW w:type="dxa" w:w="27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Valeur vénale véhicules</w:t>
            </w:r>
          </w:p>
        </w:tc>
        <w:tc>
          <w:tcPr>
            <w:tcW w:type="dxa" w:w="30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60 000–240 000 FCFA</w:t>
            </w:r>
          </w:p>
        </w:tc>
      </w:tr>
      <w:tr>
        <w:tc>
          <w:tcPr>
            <w:tcW w:type="dxa" w:w="33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Études de marché (Nielsen, GfK)</w:t>
            </w:r>
          </w:p>
        </w:tc>
        <w:tc>
          <w:tcPr>
            <w:tcW w:type="dxa" w:w="27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Prix &amp; comportement</w:t>
            </w:r>
          </w:p>
        </w:tc>
        <w:tc>
          <w:tcPr>
            <w:tcW w:type="dxa" w:w="30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100 000–300 000 FCFA</w:t>
            </w:r>
          </w:p>
        </w:tc>
      </w:tr>
      <w:tr>
        <w:tc>
          <w:tcPr>
            <w:tcW w:type="dxa" w:w="33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PME &amp; distributeurs locaux</w:t>
            </w:r>
          </w:p>
        </w:tc>
        <w:tc>
          <w:tcPr>
            <w:tcW w:type="dxa" w:w="27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Rapport « Prix du marché »</w:t>
            </w:r>
          </w:p>
        </w:tc>
        <w:tc>
          <w:tcPr>
            <w:tcW w:type="dxa" w:w="30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50 000–200 000 FCFA</w:t>
            </w:r>
          </w:p>
        </w:tc>
      </w:tr>
    </w:tbl>
    <w:p>
      <w:pPr>
        <w:spacing w:after="120"/>
      </w:pPr>
      <w:r>
        <w:rPr>
          <w:rFonts w:ascii="Arial" w:cs="Arial" w:eastAsia="Arial" w:hAnsi="Arial"/>
          <w:i/>
          <w:iCs/>
          <w:color w:val="6B7280"/>
          <w:sz w:val="18"/>
          <w:szCs w:val="18"/>
        </w:rPr>
        <w:t xml:space="preserve">Note légale : données agrégées et anonymisées, clause CGU dédiée (pratique standard Jumia/Jiji).</w:t>
      </w:r>
    </w:p>
    <w:p>
      <w:pPr>
        <w:pStyle w:val="Heading2"/>
        <w:spacing w:after="120" w:before="240"/>
      </w:pPr>
      <w:r>
        <w:rPr>
          <w:rFonts w:ascii="Arial" w:cs="Arial" w:eastAsia="Arial" w:hAnsi="Arial"/>
          <w:b/>
          <w:bCs/>
          <w:color w:val="1F2937"/>
          <w:sz w:val="25"/>
          <w:szCs w:val="25"/>
        </w:rPr>
        <w:t xml:space="preserve">6.D Notifications Premium WhatsApp (suivi de commande)</w:t>
      </w:r>
    </w:p>
    <w:p>
      <w:pPr>
        <w:spacing w:after="120" w:line="276"/>
      </w:pPr>
      <w:r>
        <w:rPr>
          <w:rFonts w:ascii="Arial" w:cs="Arial" w:eastAsia="Arial" w:hAnsi="Arial"/>
        </w:rPr>
        <w:t xml:space="preserve">Option payante 150-200 FCFA au checkout : alertes WhatsApp instantanées (confirmation, colis en route, livraison prévue). Coût marginal nul via Green API → marge brute 100 %.</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2900"/>
        <w:gridCol w:w="1800"/>
        <w:gridCol w:w="1400"/>
        <w:gridCol w:w="2926"/>
      </w:tblGrid>
      <w:tr>
        <w:trPr>
          <w:tblHeader/>
        </w:trPr>
        <w:tc>
          <w:tcPr>
            <w:tcW w:type="dxa" w:w="29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Volume commandes/mois</w:t>
            </w:r>
          </w:p>
        </w:tc>
        <w:tc>
          <w:tcPr>
            <w:tcW w:type="dxa" w:w="18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Adoption</w:t>
            </w:r>
          </w:p>
        </w:tc>
        <w:tc>
          <w:tcPr>
            <w:tcW w:type="dxa" w:w="14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Prix</w:t>
            </w:r>
          </w:p>
        </w:tc>
        <w:tc>
          <w:tcPr>
            <w:tcW w:type="dxa" w:w="29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Revenu (marge 100 %)</w:t>
            </w:r>
          </w:p>
        </w:tc>
      </w:tr>
      <w:tr>
        <w:tc>
          <w:tcPr>
            <w:tcW w:type="dxa" w:w="2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500 (Mois 6)</w:t>
            </w:r>
          </w:p>
        </w:tc>
        <w:tc>
          <w:tcPr>
            <w:tcW w:type="dxa" w:w="18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35-40 %</w:t>
            </w:r>
          </w:p>
        </w:tc>
        <w:tc>
          <w:tcPr>
            <w:tcW w:type="dxa" w:w="14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150 FCFA</w:t>
            </w:r>
          </w:p>
        </w:tc>
        <w:tc>
          <w:tcPr>
            <w:tcW w:type="dxa" w:w="29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26 250–30 000 FCFA</w:t>
            </w:r>
          </w:p>
        </w:tc>
      </w:tr>
      <w:tr>
        <w:tc>
          <w:tcPr>
            <w:tcW w:type="dxa" w:w="2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2 000 (Mois 12)</w:t>
            </w:r>
          </w:p>
        </w:tc>
        <w:tc>
          <w:tcPr>
            <w:tcW w:type="dxa" w:w="18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40-50 %</w:t>
            </w:r>
          </w:p>
        </w:tc>
        <w:tc>
          <w:tcPr>
            <w:tcW w:type="dxa" w:w="14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150 FCFA</w:t>
            </w:r>
          </w:p>
        </w:tc>
        <w:tc>
          <w:tcPr>
            <w:tcW w:type="dxa" w:w="29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120 000–150 000 FCFA</w:t>
            </w:r>
          </w:p>
        </w:tc>
      </w:tr>
      <w:tr>
        <w:tc>
          <w:tcPr>
            <w:tcW w:type="dxa" w:w="2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8 000 (An 2)</w:t>
            </w:r>
          </w:p>
        </w:tc>
        <w:tc>
          <w:tcPr>
            <w:tcW w:type="dxa" w:w="18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45-55 %</w:t>
            </w:r>
          </w:p>
        </w:tc>
        <w:tc>
          <w:tcPr>
            <w:tcW w:type="dxa" w:w="14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200 FCFA</w:t>
            </w:r>
          </w:p>
        </w:tc>
        <w:tc>
          <w:tcPr>
            <w:tcW w:type="dxa" w:w="29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720 000–880 000 FCFA</w:t>
            </w:r>
          </w:p>
        </w:tc>
      </w:tr>
    </w:tbl>
    <w:p>
      <w:pPr>
        <w:pStyle w:val="Heading2"/>
        <w:spacing w:after="120" w:before="240"/>
      </w:pPr>
      <w:r>
        <w:rPr>
          <w:rFonts w:ascii="Arial" w:cs="Arial" w:eastAsia="Arial" w:hAnsi="Arial"/>
          <w:b/>
          <w:bCs/>
          <w:color w:val="1F2937"/>
          <w:sz w:val="25"/>
          <w:szCs w:val="25"/>
        </w:rPr>
        <w:t xml:space="preserve">6.E Exploitation du float escrow (fintech passif)</w:t>
      </w:r>
    </w:p>
    <w:p>
      <w:pPr>
        <w:spacing w:after="120" w:line="276"/>
      </w:pPr>
      <w:r>
        <w:rPr>
          <w:rFonts w:ascii="Arial" w:cs="Arial" w:eastAsia="Arial" w:hAnsi="Arial"/>
        </w:rPr>
        <w:t xml:space="preserve">Placer les liquidités bloquées en escrow (24-48 h) sur des comptes rémunérés court terme (Wave Business, dépôts BICIS). </w:t>
      </w:r>
      <w:r>
        <w:rPr>
          <w:rFonts w:ascii="Arial" w:cs="Arial" w:eastAsia="Arial" w:hAnsi="Arial"/>
          <w:i/>
          <w:iCs/>
        </w:rPr>
        <w:t xml:space="preserve">Stratégie standard de Stripe, PayPal, M-Pesa, Wave. </w:t>
      </w:r>
      <w:r>
        <w:rPr>
          <w:rFonts w:ascii="Arial" w:cs="Arial" w:eastAsia="Arial" w:hAnsi="Arial"/>
        </w:rPr>
        <w:t xml:space="preserve">Significatif à partir de l’An 2 — mais ouvrir le compte adapté maintenant ne coûte rien.</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2600"/>
        <w:gridCol w:w="2300"/>
        <w:gridCol w:w="1500"/>
        <w:gridCol w:w="2626"/>
      </w:tblGrid>
      <w:tr>
        <w:trPr>
          <w:tblHeader/>
        </w:trPr>
        <w:tc>
          <w:tcPr>
            <w:tcW w:type="dxa" w:w="26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GMV mensuel</w:t>
            </w:r>
          </w:p>
        </w:tc>
        <w:tc>
          <w:tcPr>
            <w:tcW w:type="dxa" w:w="23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Float moyen (36 h)</w:t>
            </w:r>
          </w:p>
        </w:tc>
        <w:tc>
          <w:tcPr>
            <w:tcW w:type="dxa" w:w="15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Rendement</w:t>
            </w:r>
          </w:p>
        </w:tc>
        <w:tc>
          <w:tcPr>
            <w:tcW w:type="dxa" w:w="26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Revenu passif/mois</w:t>
            </w:r>
          </w:p>
        </w:tc>
      </w:tr>
      <w:tr>
        <w:tc>
          <w:tcPr>
            <w:tcW w:type="dxa" w:w="26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10 M FCFA (Mois 6)</w:t>
            </w:r>
          </w:p>
        </w:tc>
        <w:tc>
          <w:tcPr>
            <w:tcW w:type="dxa" w:w="23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500 000 FCFA</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3 %</w:t>
            </w:r>
          </w:p>
        </w:tc>
        <w:tc>
          <w:tcPr>
            <w:tcW w:type="dxa" w:w="26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~1 250 FCFA (symbolique)</w:t>
            </w:r>
          </w:p>
        </w:tc>
      </w:tr>
      <w:tr>
        <w:tc>
          <w:tcPr>
            <w:tcW w:type="dxa" w:w="26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40 M FCFA (Mois 12)</w:t>
            </w:r>
          </w:p>
        </w:tc>
        <w:tc>
          <w:tcPr>
            <w:tcW w:type="dxa" w:w="23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2 000 000 FCFA</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3-5 %</w:t>
            </w:r>
          </w:p>
        </w:tc>
        <w:tc>
          <w:tcPr>
            <w:tcW w:type="dxa" w:w="26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~5 000 FCFA</w:t>
            </w:r>
          </w:p>
        </w:tc>
      </w:tr>
      <w:tr>
        <w:tc>
          <w:tcPr>
            <w:tcW w:type="dxa" w:w="26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160 M FCFA (An 2)</w:t>
            </w:r>
          </w:p>
        </w:tc>
        <w:tc>
          <w:tcPr>
            <w:tcW w:type="dxa" w:w="23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8 000 000 FCFA</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3-5 %</w:t>
            </w:r>
          </w:p>
        </w:tc>
        <w:tc>
          <w:tcPr>
            <w:tcW w:type="dxa" w:w="26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20 000–33 000 FCFA</w:t>
            </w:r>
          </w:p>
        </w:tc>
      </w:tr>
      <w:tr>
        <w:tc>
          <w:tcPr>
            <w:tcW w:type="dxa" w:w="26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500 M FCFA (An 3)</w:t>
            </w:r>
          </w:p>
        </w:tc>
        <w:tc>
          <w:tcPr>
            <w:tcW w:type="dxa" w:w="23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25 000 000 FCFA</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3-5 %</w:t>
            </w:r>
          </w:p>
        </w:tc>
        <w:tc>
          <w:tcPr>
            <w:tcW w:type="dxa" w:w="26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62 500–104 000 FCFA</w:t>
            </w:r>
          </w:p>
        </w:tc>
      </w:tr>
    </w:tbl>
    <w:p>
      <w:pPr>
        <w:pStyle w:val="Heading2"/>
        <w:spacing w:after="120" w:before="240"/>
      </w:pPr>
      <w:r>
        <w:rPr>
          <w:rFonts w:ascii="Arial" w:cs="Arial" w:eastAsia="Arial" w:hAnsi="Arial"/>
          <w:b/>
          <w:bCs/>
          <w:color w:val="1F2937"/>
          <w:sz w:val="25"/>
          <w:szCs w:val="25"/>
        </w:rPr>
        <w:t xml:space="preserve">6.F Priorité d’intégration sur 90 jours</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2700"/>
        <w:gridCol w:w="1500"/>
        <w:gridCol w:w="1500"/>
        <w:gridCol w:w="1900"/>
        <w:gridCol w:w="1426"/>
      </w:tblGrid>
      <w:tr>
        <w:trPr>
          <w:tblHeader/>
        </w:trPr>
        <w:tc>
          <w:tcPr>
            <w:tcW w:type="dxa" w:w="27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Mécanisme</w:t>
            </w:r>
          </w:p>
        </w:tc>
        <w:tc>
          <w:tcPr>
            <w:tcW w:type="dxa" w:w="15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Effort</w:t>
            </w:r>
          </w:p>
        </w:tc>
        <w:tc>
          <w:tcPr>
            <w:tcW w:type="dxa" w:w="15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Quand</w:t>
            </w:r>
          </w:p>
        </w:tc>
        <w:tc>
          <w:tcPr>
            <w:tcW w:type="dxa" w:w="19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Revenu Mois 12</w:t>
            </w:r>
          </w:p>
        </w:tc>
        <w:tc>
          <w:tcPr>
            <w:tcW w:type="dxa" w:w="14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Priorité</w:t>
            </w:r>
          </w:p>
        </w:tc>
      </w:tr>
      <w:tr>
        <w:tc>
          <w:tcPr>
            <w:tcW w:type="dxa" w:w="27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D — Notifications WhatsApp</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Très faible</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Mois 3</w:t>
            </w:r>
          </w:p>
        </w:tc>
        <w:tc>
          <w:tcPr>
            <w:tcW w:type="dxa" w:w="1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120-150 K/mois</w:t>
            </w:r>
          </w:p>
        </w:tc>
        <w:tc>
          <w:tcPr>
            <w:tcW w:type="dxa" w:w="1426"/>
            <w:shd w:fill="FFFFFF" w:val="clear"/>
            <w:tcMar>
              <w:top w:type="dxa" w:w="60"/>
              <w:left w:type="dxa" w:w="110"/>
              <w:bottom w:type="dxa" w:w="60"/>
              <w:right w:type="dxa" w:w="110"/>
            </w:tcMar>
            <w:vAlign w:val="center"/>
          </w:tcPr>
          <w:p>
            <w:pPr>
              <w:spacing w:line="252"/>
            </w:pPr>
            <w:r>
              <w:rPr>
                <w:rFonts w:ascii="Arial" w:cs="Arial" w:eastAsia="Arial" w:hAnsi="Arial"/>
                <w:b/>
                <w:bCs/>
                <w:color w:val="00853E"/>
              </w:rPr>
              <w:t xml:space="preserve">1</w:t>
            </w:r>
          </w:p>
        </w:tc>
      </w:tr>
      <w:tr>
        <w:tc>
          <w:tcPr>
            <w:tcW w:type="dxa" w:w="27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B — Markup logistique</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Faible</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Mois 3</w:t>
            </w:r>
          </w:p>
        </w:tc>
        <w:tc>
          <w:tcPr>
            <w:tcW w:type="dxa" w:w="1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600-800 K/mois</w:t>
            </w:r>
          </w:p>
        </w:tc>
        <w:tc>
          <w:tcPr>
            <w:tcW w:type="dxa" w:w="1426"/>
            <w:shd w:fill="F3F6F4" w:val="clear"/>
            <w:tcMar>
              <w:top w:type="dxa" w:w="60"/>
              <w:left w:type="dxa" w:w="110"/>
              <w:bottom w:type="dxa" w:w="60"/>
              <w:right w:type="dxa" w:w="110"/>
            </w:tcMar>
            <w:vAlign w:val="center"/>
          </w:tcPr>
          <w:p>
            <w:pPr>
              <w:spacing w:line="252"/>
            </w:pPr>
            <w:r>
              <w:rPr>
                <w:rFonts w:ascii="Arial" w:cs="Arial" w:eastAsia="Arial" w:hAnsi="Arial"/>
                <w:b/>
                <w:bCs/>
                <w:color w:val="00853E"/>
              </w:rPr>
              <w:t xml:space="preserve">1</w:t>
            </w:r>
          </w:p>
        </w:tc>
      </w:tr>
      <w:tr>
        <w:tc>
          <w:tcPr>
            <w:tcW w:type="dxa" w:w="27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A — Affiliation B2B</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Faible</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Mois 2</w:t>
            </w:r>
          </w:p>
        </w:tc>
        <w:tc>
          <w:tcPr>
            <w:tcW w:type="dxa" w:w="1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100-200 K/mois</w:t>
            </w:r>
          </w:p>
        </w:tc>
        <w:tc>
          <w:tcPr>
            <w:tcW w:type="dxa" w:w="1426"/>
            <w:shd w:fill="FFFFFF" w:val="clear"/>
            <w:tcMar>
              <w:top w:type="dxa" w:w="60"/>
              <w:left w:type="dxa" w:w="110"/>
              <w:bottom w:type="dxa" w:w="60"/>
              <w:right w:type="dxa" w:w="110"/>
            </w:tcMar>
            <w:vAlign w:val="center"/>
          </w:tcPr>
          <w:p>
            <w:pPr>
              <w:spacing w:line="252"/>
            </w:pPr>
            <w:r>
              <w:rPr>
                <w:rFonts w:ascii="Arial" w:cs="Arial" w:eastAsia="Arial" w:hAnsi="Arial"/>
                <w:b/>
                <w:bCs/>
                <w:color w:val="B7791F"/>
              </w:rPr>
              <w:t xml:space="preserve">2</w:t>
            </w:r>
          </w:p>
        </w:tc>
      </w:tr>
      <w:tr>
        <w:tc>
          <w:tcPr>
            <w:tcW w:type="dxa" w:w="27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E — Float escrow</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Nul (compte)</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Maintenant</w:t>
            </w:r>
          </w:p>
        </w:tc>
        <w:tc>
          <w:tcPr>
            <w:tcW w:type="dxa" w:w="1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croissance An 2</w:t>
            </w:r>
          </w:p>
        </w:tc>
        <w:tc>
          <w:tcPr>
            <w:tcW w:type="dxa" w:w="1426"/>
            <w:shd w:fill="F3F6F4" w:val="clear"/>
            <w:tcMar>
              <w:top w:type="dxa" w:w="60"/>
              <w:left w:type="dxa" w:w="110"/>
              <w:bottom w:type="dxa" w:w="60"/>
              <w:right w:type="dxa" w:w="110"/>
            </w:tcMar>
            <w:vAlign w:val="center"/>
          </w:tcPr>
          <w:p>
            <w:pPr>
              <w:spacing w:line="252"/>
            </w:pPr>
            <w:r>
              <w:rPr>
                <w:rFonts w:ascii="Arial" w:cs="Arial" w:eastAsia="Arial" w:hAnsi="Arial"/>
                <w:b/>
                <w:bCs/>
                <w:color w:val="B7791F"/>
              </w:rPr>
              <w:t xml:space="preserve">2</w:t>
            </w:r>
          </w:p>
        </w:tc>
      </w:tr>
      <w:tr>
        <w:tc>
          <w:tcPr>
            <w:tcW w:type="dxa" w:w="27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C — Data as a Service</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Moyen</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Mois 12+</w:t>
            </w:r>
          </w:p>
        </w:tc>
        <w:tc>
          <w:tcPr>
            <w:tcW w:type="dxa" w:w="1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300 K-1 M/mois</w:t>
            </w:r>
          </w:p>
        </w:tc>
        <w:tc>
          <w:tcPr>
            <w:tcW w:type="dxa" w:w="1426"/>
            <w:shd w:fill="FFFFFF" w:val="clear"/>
            <w:tcMar>
              <w:top w:type="dxa" w:w="60"/>
              <w:left w:type="dxa" w:w="110"/>
              <w:bottom w:type="dxa" w:w="60"/>
              <w:right w:type="dxa" w:w="110"/>
            </w:tcMar>
            <w:vAlign w:val="center"/>
          </w:tcPr>
          <w:p>
            <w:pPr>
              <w:spacing w:line="252"/>
            </w:pPr>
            <w:r>
              <w:rPr>
                <w:rFonts w:ascii="Arial" w:cs="Arial" w:eastAsia="Arial" w:hAnsi="Arial"/>
                <w:b/>
                <w:bCs/>
                <w:color w:val="6B7280"/>
              </w:rPr>
              <w:t xml:space="preserve">3</w:t>
            </w:r>
          </w:p>
        </w:tc>
      </w:tr>
    </w:tbl>
    <w:p>
      <w:pPr>
        <w:pStyle w:val="Heading1"/>
        <w:pageBreakBefore/>
        <w:spacing w:after="160" w:before="320"/>
      </w:pPr>
      <w:r>
        <w:rPr>
          <w:rFonts w:ascii="Arial" w:cs="Arial" w:eastAsia="Arial" w:hAnsi="Arial"/>
          <w:b/>
          <w:bCs/>
          <w:color w:val="00853E"/>
          <w:sz w:val="30"/>
          <w:szCs w:val="30"/>
        </w:rPr>
        <w:t xml:space="preserve">7. Acquisition à deux faces : vendeurs ET acheteurs</w:t>
      </w:r>
    </w:p>
    <w:p>
      <w:pPr>
        <w:spacing w:after="120" w:line="276"/>
      </w:pPr>
      <w:r>
        <w:rPr>
          <w:rFonts w:ascii="Arial" w:cs="Arial" w:eastAsia="Arial" w:hAnsi="Arial"/>
        </w:rPr>
        <w:t xml:space="preserve">La correction majeure du plan : équilibrer l’acquisition. Une marketplace est un marché biface — sans acheteurs, les vendeurs partent (RT-02).</w:t>
      </w:r>
    </w:p>
    <w:p>
      <w:pPr>
        <w:pStyle w:val="Heading2"/>
        <w:spacing w:after="120" w:before="240"/>
      </w:pPr>
      <w:r>
        <w:rPr>
          <w:rFonts w:ascii="Arial" w:cs="Arial" w:eastAsia="Arial" w:hAnsi="Arial"/>
          <w:b/>
          <w:bCs/>
          <w:color w:val="1F2937"/>
          <w:sz w:val="25"/>
          <w:szCs w:val="25"/>
        </w:rPr>
        <w:t xml:space="preserve">7.1 Côté vendeurs — les 100 premiers</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2500"/>
        <w:gridCol w:w="3600"/>
        <w:gridCol w:w="1300"/>
        <w:gridCol w:w="1626"/>
      </w:tblGrid>
      <w:tr>
        <w:trPr>
          <w:tblHeader/>
        </w:trPr>
        <w:tc>
          <w:tcPr>
            <w:tcW w:type="dxa" w:w="25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Canal</w:t>
            </w:r>
          </w:p>
        </w:tc>
        <w:tc>
          <w:tcPr>
            <w:tcW w:type="dxa" w:w="36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Action</w:t>
            </w:r>
          </w:p>
        </w:tc>
        <w:tc>
          <w:tcPr>
            <w:tcW w:type="dxa" w:w="13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Coût</w:t>
            </w:r>
          </w:p>
        </w:tc>
        <w:tc>
          <w:tcPr>
            <w:tcW w:type="dxa" w:w="16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Vendeurs</w:t>
            </w:r>
          </w:p>
        </w:tc>
      </w:tr>
      <w:tr>
        <w:tc>
          <w:tcPr>
            <w:tcW w:type="dxa" w:w="2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Réseau personnel</w:t>
            </w:r>
          </w:p>
        </w:tc>
        <w:tc>
          <w:tcPr>
            <w:tcW w:type="dxa" w:w="36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Contacts WhatsApp : « essaie gratuitement »</w:t>
            </w:r>
          </w:p>
        </w:tc>
        <w:tc>
          <w:tcPr>
            <w:tcW w:type="dxa" w:w="13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0 FCFA</w:t>
            </w:r>
          </w:p>
        </w:tc>
        <w:tc>
          <w:tcPr>
            <w:tcW w:type="dxa" w:w="16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10-15</w:t>
            </w:r>
          </w:p>
        </w:tc>
      </w:tr>
      <w:tr>
        <w:tc>
          <w:tcPr>
            <w:tcW w:type="dxa" w:w="2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Groupes WhatsApp commerçants</w:t>
            </w:r>
          </w:p>
        </w:tc>
        <w:tc>
          <w:tcPr>
            <w:tcW w:type="dxa" w:w="36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Revendeurs téléphones, vêtements, électro</w:t>
            </w:r>
          </w:p>
        </w:tc>
        <w:tc>
          <w:tcPr>
            <w:tcW w:type="dxa" w:w="13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0 FCFA</w:t>
            </w:r>
          </w:p>
        </w:tc>
        <w:tc>
          <w:tcPr>
            <w:tcW w:type="dxa" w:w="16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20-30</w:t>
            </w:r>
          </w:p>
        </w:tc>
      </w:tr>
      <w:tr>
        <w:tc>
          <w:tcPr>
            <w:tcW w:type="dxa" w:w="2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Facebook Groups locaux</w:t>
            </w:r>
          </w:p>
        </w:tc>
        <w:tc>
          <w:tcPr>
            <w:tcW w:type="dxa" w:w="36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 Sandaga en ligne », offre parrainage</w:t>
            </w:r>
          </w:p>
        </w:tc>
        <w:tc>
          <w:tcPr>
            <w:tcW w:type="dxa" w:w="13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0 FCFA</w:t>
            </w:r>
          </w:p>
        </w:tc>
        <w:tc>
          <w:tcPr>
            <w:tcW w:type="dxa" w:w="16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20-30</w:t>
            </w:r>
          </w:p>
        </w:tc>
      </w:tr>
      <w:tr>
        <w:tc>
          <w:tcPr>
            <w:tcW w:type="dxa" w:w="2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Ambassadeurs de quartier</w:t>
            </w:r>
          </w:p>
        </w:tc>
        <w:tc>
          <w:tcPr>
            <w:tcW w:type="dxa" w:w="36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3-5 influents (Tilène, HLM, Sandaga)</w:t>
            </w:r>
          </w:p>
        </w:tc>
        <w:tc>
          <w:tcPr>
            <w:tcW w:type="dxa" w:w="13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0 FCFA</w:t>
            </w:r>
          </w:p>
        </w:tc>
        <w:tc>
          <w:tcPr>
            <w:tcW w:type="dxa" w:w="16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20-30</w:t>
            </w:r>
          </w:p>
        </w:tc>
      </w:tr>
      <w:tr>
        <w:tc>
          <w:tcPr>
            <w:tcW w:type="dxa" w:w="2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Inscription physique Sandaga</w:t>
            </w:r>
          </w:p>
        </w:tc>
        <w:tc>
          <w:tcPr>
            <w:tcW w:type="dxa" w:w="36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Démo live, inscription en 5 min</w:t>
            </w:r>
          </w:p>
        </w:tc>
        <w:tc>
          <w:tcPr>
            <w:tcW w:type="dxa" w:w="13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Transport</w:t>
            </w:r>
          </w:p>
        </w:tc>
        <w:tc>
          <w:tcPr>
            <w:tcW w:type="dxa" w:w="16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10-20</w:t>
            </w:r>
          </w:p>
        </w:tc>
      </w:tr>
      <w:tr>
        <w:tc>
          <w:tcPr>
            <w:tcW w:type="dxa" w:w="2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TikTok / Instagram démo</w:t>
            </w:r>
          </w:p>
        </w:tc>
        <w:tc>
          <w:tcPr>
            <w:tcW w:type="dxa" w:w="36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Vidéo 60 s « vendre en 2 min »</w:t>
            </w:r>
          </w:p>
        </w:tc>
        <w:tc>
          <w:tcPr>
            <w:tcW w:type="dxa" w:w="13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0 FCFA</w:t>
            </w:r>
          </w:p>
        </w:tc>
        <w:tc>
          <w:tcPr>
            <w:tcW w:type="dxa" w:w="16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5-15</w:t>
            </w:r>
          </w:p>
        </w:tc>
      </w:tr>
    </w:tbl>
    <w:tbl>
      <w:tblPr>
        <w:tblW w:type="dxa" w:w="9026"/>
        <w:tblBorders>
          <w:top w:val="single" w:color="E3F2EA" w:sz="1"/>
          <w:left w:val="single" w:color="00853E" w:sz="18"/>
          <w:bottom w:val="single" w:color="E3F2EA" w:sz="1"/>
          <w:right w:val="single" w:color="E3F2EA" w:sz="1"/>
          <w:insideH w:val="single" w:color="auto" w:sz="4"/>
          <w:insideV w:val="single" w:color="auto" w:sz="4"/>
        </w:tblBorders>
      </w:tblPr>
      <w:tblGrid>
        <w:gridCol w:w="9026"/>
      </w:tblGrid>
      <w:tr>
        <w:tc>
          <w:tcPr>
            <w:shd w:fill="E3F2EA" w:val="clear"/>
            <w:tcMar>
              <w:top w:type="dxa" w:w="120"/>
              <w:left w:type="dxa" w:w="200"/>
              <w:bottom w:type="dxa" w:w="120"/>
              <w:right w:type="dxa" w:w="160"/>
            </w:tcMar>
          </w:tcPr>
          <w:p>
            <w:pPr>
              <w:spacing w:after="80"/>
            </w:pPr>
            <w:r>
              <w:rPr>
                <w:rFonts w:ascii="Arial" w:cs="Arial" w:eastAsia="Arial" w:hAnsi="Arial"/>
                <w:b/>
                <w:bCs/>
                <w:color w:val="00853E"/>
                <w:sz w:val="22"/>
                <w:szCs w:val="22"/>
              </w:rPr>
              <w:t xml:space="preserve">La règle des 100</w:t>
            </w:r>
          </w:p>
          <w:p>
            <w:pPr>
              <w:spacing w:after="60" w:line="264"/>
            </w:pPr>
            <w:r>
              <w:rPr>
                <w:rFonts w:ascii="Arial" w:cs="Arial" w:eastAsia="Arial" w:hAnsi="Arial"/>
                <w:sz w:val="21"/>
                <w:szCs w:val="21"/>
              </w:rPr>
              <w:t xml:space="preserve">100 boutiques actives × 5 articles à 15 000 FCFA/mois = 500 ventes = 7 500 000 FCFA de GMV. À 15 % → 1 125 000 FCFA/mois. À ce stade, NEXUS est rentable.</w:t>
            </w:r>
          </w:p>
        </w:tc>
      </w:tr>
    </w:tbl>
    <w:p>
      <w:pPr>
        <w:pStyle w:val="Heading2"/>
        <w:spacing w:after="120" w:before="240"/>
      </w:pPr>
      <w:r>
        <w:rPr>
          <w:rFonts w:ascii="Arial" w:cs="Arial" w:eastAsia="Arial" w:hAnsi="Arial"/>
          <w:b/>
          <w:bCs/>
          <w:color w:val="1F2937"/>
          <w:sz w:val="25"/>
          <w:szCs w:val="25"/>
        </w:rPr>
        <w:t xml:space="preserve">7.2 Côté acheteurs — créer la demande (nouveau)</w:t>
      </w:r>
    </w:p>
    <w:p>
      <w:pPr>
        <w:pStyle w:val="ListParagraph"/>
        <w:numPr>
          <w:ilvl w:val="0"/>
          <w:numId w:val="3"/>
        </w:numPr>
        <w:spacing w:after="80" w:line="270"/>
      </w:pPr>
      <w:r>
        <w:rPr>
          <w:rFonts w:ascii="Arial" w:cs="Arial" w:eastAsia="Arial" w:hAnsi="Arial"/>
          <w:b/>
          <w:bCs/>
        </w:rPr>
        <w:t xml:space="preserve">« Premier achat garanti »</w:t>
      </w:r>
      <w:r>
        <w:rPr>
          <w:rFonts w:ascii="Arial" w:cs="Arial" w:eastAsia="Arial" w:hAnsi="Arial"/>
        </w:rPr>
        <w:t xml:space="preserve"> : remboursement si arnaque sur les 20 premières transactions — détruit la peur d’acheter en ligne.</w:t>
      </w:r>
    </w:p>
    <w:p>
      <w:pPr>
        <w:pStyle w:val="ListParagraph"/>
        <w:numPr>
          <w:ilvl w:val="0"/>
          <w:numId w:val="3"/>
        </w:numPr>
        <w:spacing w:after="80" w:line="270"/>
      </w:pPr>
      <w:r>
        <w:rPr>
          <w:rFonts w:ascii="Arial" w:cs="Arial" w:eastAsia="Arial" w:hAnsi="Arial"/>
          <w:b/>
          <w:bCs/>
        </w:rPr>
        <w:t xml:space="preserve">Broadcast acheteur hebdomadaire</w:t>
      </w:r>
      <w:r>
        <w:rPr>
          <w:rFonts w:ascii="Arial" w:cs="Arial" w:eastAsia="Arial" w:hAnsi="Arial"/>
        </w:rPr>
        <w:t xml:space="preserve"> : « Top annonces de la semaine » (lundi) + ventes flash (vendredi).</w:t>
      </w:r>
    </w:p>
    <w:p>
      <w:pPr>
        <w:pStyle w:val="ListParagraph"/>
        <w:numPr>
          <w:ilvl w:val="0"/>
          <w:numId w:val="3"/>
        </w:numPr>
        <w:spacing w:after="80" w:line="270"/>
      </w:pPr>
      <w:r>
        <w:rPr>
          <w:rFonts w:ascii="Arial" w:cs="Arial" w:eastAsia="Arial" w:hAnsi="Arial"/>
          <w:b/>
          <w:bCs/>
        </w:rPr>
        <w:t xml:space="preserve">SEO local &amp; pages d’atterrissage</w:t>
      </w:r>
      <w:r>
        <w:rPr>
          <w:rFonts w:ascii="Arial" w:cs="Arial" w:eastAsia="Arial" w:hAnsi="Arial"/>
        </w:rPr>
        <w:t xml:space="preserve"> : pages catégories et villes (Dakar, Thiès, Saint-Louis…) déjà déployées (§12) pour capter le trafic Google.</w:t>
      </w:r>
    </w:p>
    <w:p>
      <w:pPr>
        <w:pStyle w:val="ListParagraph"/>
        <w:numPr>
          <w:ilvl w:val="0"/>
          <w:numId w:val="3"/>
        </w:numPr>
        <w:spacing w:after="80" w:line="270"/>
      </w:pPr>
      <w:r>
        <w:rPr>
          <w:rFonts w:ascii="Arial" w:cs="Arial" w:eastAsia="Arial" w:hAnsi="Arial"/>
          <w:b/>
          <w:bCs/>
        </w:rPr>
        <w:t xml:space="preserve">Fidélité Bronze-Platine + cashback 5 %</w:t>
      </w:r>
      <w:r>
        <w:rPr>
          <w:rFonts w:ascii="Arial" w:cs="Arial" w:eastAsia="Arial" w:hAnsi="Arial"/>
        </w:rPr>
        <w:t xml:space="preserve"> : récurrence des achats.</w:t>
      </w:r>
    </w:p>
    <w:p>
      <w:pPr>
        <w:pStyle w:val="ListParagraph"/>
        <w:numPr>
          <w:ilvl w:val="0"/>
          <w:numId w:val="3"/>
        </w:numPr>
        <w:spacing w:after="80" w:line="270"/>
      </w:pPr>
      <w:r>
        <w:rPr>
          <w:rFonts w:ascii="Arial" w:cs="Arial" w:eastAsia="Arial" w:hAnsi="Arial"/>
          <w:b/>
          <w:bCs/>
        </w:rPr>
        <w:t xml:space="preserve">Ventes flash hebdomadaires</w:t>
      </w:r>
      <w:r>
        <w:rPr>
          <w:rFonts w:ascii="Arial" w:cs="Arial" w:eastAsia="Arial" w:hAnsi="Arial"/>
        </w:rPr>
        <w:t xml:space="preserve"> : 5 produits -20 % le vendredi → urgence et trafic récurrent.</w:t>
      </w:r>
    </w:p>
    <w:p>
      <w:pPr>
        <w:pStyle w:val="Heading1"/>
        <w:pageBreakBefore/>
        <w:spacing w:after="160" w:before="320"/>
      </w:pPr>
      <w:r>
        <w:rPr>
          <w:rFonts w:ascii="Arial" w:cs="Arial" w:eastAsia="Arial" w:hAnsi="Arial"/>
          <w:b/>
          <w:bCs/>
          <w:color w:val="00853E"/>
          <w:sz w:val="30"/>
          <w:szCs w:val="30"/>
        </w:rPr>
        <w:t xml:space="preserve">8. Stratégie de croissance sans budget — par phase</w:t>
      </w:r>
    </w:p>
    <w:p>
      <w:pPr>
        <w:pStyle w:val="Heading2"/>
        <w:spacing w:after="120" w:before="240"/>
      </w:pPr>
      <w:r>
        <w:rPr>
          <w:rFonts w:ascii="Arial" w:cs="Arial" w:eastAsia="Arial" w:hAnsi="Arial"/>
          <w:b/>
          <w:bCs/>
          <w:color w:val="1F2937"/>
          <w:sz w:val="25"/>
          <w:szCs w:val="25"/>
        </w:rPr>
        <w:t xml:space="preserve">Phase 0 — Mesurer &amp; consolider (Semaines 1-2)</w:t>
      </w:r>
    </w:p>
    <w:p>
      <w:pPr>
        <w:pStyle w:val="ListParagraph"/>
        <w:numPr>
          <w:ilvl w:val="0"/>
          <w:numId w:val="3"/>
        </w:numPr>
        <w:spacing w:after="80" w:line="270"/>
      </w:pPr>
      <w:r>
        <w:rPr>
          <w:rFonts w:ascii="Arial" w:cs="Arial" w:eastAsia="Arial" w:hAnsi="Arial"/>
          <w:b/>
          <w:bCs/>
        </w:rPr>
        <w:t xml:space="preserve">Installer Plausible Analytics</w:t>
      </w:r>
      <w:r>
        <w:rPr>
          <w:rFonts w:ascii="Arial" w:cs="Arial" w:eastAsia="Arial" w:hAnsi="Arial"/>
        </w:rPr>
        <w:t xml:space="preserve"> (gratuit, RGPD) : visiteurs uniques, pages de sortie, taux de rebond. On ne pilote pas sans données (OODA-Observe).</w:t>
      </w:r>
    </w:p>
    <w:p>
      <w:pPr>
        <w:pStyle w:val="ListParagraph"/>
        <w:numPr>
          <w:ilvl w:val="0"/>
          <w:numId w:val="3"/>
        </w:numPr>
        <w:spacing w:after="80" w:line="270"/>
      </w:pPr>
      <w:r>
        <w:rPr>
          <w:rFonts w:ascii="Arial" w:cs="Arial" w:eastAsia="Arial" w:hAnsi="Arial"/>
        </w:rPr>
        <w:t xml:space="preserve">Configurer Wave Marchand &amp; Orange Money en PRODUCTION ; tester 3 transactions réelles de bout en bout.</w:t>
      </w:r>
    </w:p>
    <w:p>
      <w:pPr>
        <w:pStyle w:val="ListParagraph"/>
        <w:numPr>
          <w:ilvl w:val="0"/>
          <w:numId w:val="3"/>
        </w:numPr>
        <w:spacing w:after="80" w:line="270"/>
      </w:pPr>
      <w:r>
        <w:rPr>
          <w:rFonts w:ascii="Arial" w:cs="Arial" w:eastAsia="Arial" w:hAnsi="Arial"/>
        </w:rPr>
        <w:t xml:space="preserve">Activer Google Search Console + soumettre le sitemap (chantier SEO §12).</w:t>
      </w:r>
    </w:p>
    <w:p>
      <w:pPr>
        <w:pStyle w:val="ListParagraph"/>
        <w:numPr>
          <w:ilvl w:val="0"/>
          <w:numId w:val="3"/>
        </w:numPr>
        <w:spacing w:after="80" w:line="270"/>
      </w:pPr>
      <w:r>
        <w:rPr>
          <w:rFonts w:ascii="Arial" w:cs="Arial" w:eastAsia="Arial" w:hAnsi="Arial"/>
        </w:rPr>
        <w:t xml:space="preserve">Créer 5-10 annonces démo de qualité (vraies photos, vrais prix).</w:t>
      </w:r>
    </w:p>
    <w:p>
      <w:pPr>
        <w:pStyle w:val="Heading2"/>
        <w:spacing w:after="120" w:before="240"/>
      </w:pPr>
      <w:r>
        <w:rPr>
          <w:rFonts w:ascii="Arial" w:cs="Arial" w:eastAsia="Arial" w:hAnsi="Arial"/>
          <w:b/>
          <w:bCs/>
          <w:color w:val="1F2937"/>
          <w:sz w:val="25"/>
          <w:szCs w:val="25"/>
        </w:rPr>
        <w:t xml:space="preserve">Phase 1 — Les 100 premiers vendeurs + premiers acheteurs (Mois 1-3)</w:t>
      </w:r>
    </w:p>
    <w:p>
      <w:pPr>
        <w:pStyle w:val="ListParagraph"/>
        <w:numPr>
          <w:ilvl w:val="0"/>
          <w:numId w:val="3"/>
        </w:numPr>
        <w:spacing w:after="80" w:line="270"/>
      </w:pPr>
      <w:r>
        <w:rPr>
          <w:rFonts w:ascii="Arial" w:cs="Arial" w:eastAsia="Arial" w:hAnsi="Arial"/>
        </w:rPr>
        <w:t xml:space="preserve">Inscrire 10 vendeurs en personne (Sandaga, HLM) — consigner chaque friction.</w:t>
      </w:r>
    </w:p>
    <w:p>
      <w:pPr>
        <w:pStyle w:val="ListParagraph"/>
        <w:numPr>
          <w:ilvl w:val="0"/>
          <w:numId w:val="3"/>
        </w:numPr>
        <w:spacing w:after="80" w:line="270"/>
      </w:pPr>
      <w:r>
        <w:rPr>
          <w:rFonts w:ascii="Arial" w:cs="Arial" w:eastAsia="Arial" w:hAnsi="Arial"/>
        </w:rPr>
        <w:t xml:space="preserve">Créer le groupe WhatsApp « Vendeurs NEXUS Dakar » (règle : 1 post/jour max).</w:t>
      </w:r>
    </w:p>
    <w:p>
      <w:pPr>
        <w:pStyle w:val="ListParagraph"/>
        <w:numPr>
          <w:ilvl w:val="0"/>
          <w:numId w:val="3"/>
        </w:numPr>
        <w:spacing w:after="80" w:line="270"/>
      </w:pPr>
      <w:r>
        <w:rPr>
          <w:rFonts w:ascii="Arial" w:cs="Arial" w:eastAsia="Arial" w:hAnsi="Arial"/>
          <w:b/>
          <w:bCs/>
        </w:rPr>
        <w:t xml:space="preserve">Lancer « Premier achat garanti »</w:t>
      </w:r>
      <w:r>
        <w:rPr>
          <w:rFonts w:ascii="Arial" w:cs="Arial" w:eastAsia="Arial" w:hAnsi="Arial"/>
        </w:rPr>
        <w:t xml:space="preserve"> en parallèle (acquisition acheteurs).</w:t>
      </w:r>
    </w:p>
    <w:p>
      <w:pPr>
        <w:pStyle w:val="ListParagraph"/>
        <w:numPr>
          <w:ilvl w:val="0"/>
          <w:numId w:val="3"/>
        </w:numPr>
        <w:spacing w:after="80" w:line="270"/>
      </w:pPr>
      <w:r>
        <w:rPr>
          <w:rFonts w:ascii="Arial" w:cs="Arial" w:eastAsia="Arial" w:hAnsi="Arial"/>
          <w:b/>
          <w:bCs/>
        </w:rPr>
        <w:t xml:space="preserve">Recruter le stagiaire support (Mois 2)</w:t>
      </w:r>
      <w:r>
        <w:rPr>
          <w:rFonts w:ascii="Arial" w:cs="Arial" w:eastAsia="Arial" w:hAnsi="Arial"/>
        </w:rPr>
        <w:t xml:space="preserve"> — mitigation burnout.</w:t>
      </w:r>
    </w:p>
    <w:p>
      <w:pPr>
        <w:pStyle w:val="ListParagraph"/>
        <w:numPr>
          <w:ilvl w:val="0"/>
          <w:numId w:val="3"/>
        </w:numPr>
        <w:spacing w:after="80" w:line="270"/>
      </w:pPr>
      <w:r>
        <w:rPr>
          <w:rFonts w:ascii="Arial" w:cs="Arial" w:eastAsia="Arial" w:hAnsi="Arial"/>
          <w:b/>
          <w:bCs/>
        </w:rPr>
        <w:t xml:space="preserve">Objectif unique : 3 transactions réelles complètes</w:t>
      </w:r>
      <w:r>
        <w:rPr>
          <w:rFonts w:ascii="Arial" w:cs="Arial" w:eastAsia="Arial" w:hAnsi="Arial"/>
        </w:rPr>
        <w:t xml:space="preserve"> avec paiement mobile.</w:t>
      </w:r>
    </w:p>
    <w:p>
      <w:pPr>
        <w:pStyle w:val="Heading2"/>
        <w:spacing w:after="120" w:before="240"/>
      </w:pPr>
      <w:r>
        <w:rPr>
          <w:rFonts w:ascii="Arial" w:cs="Arial" w:eastAsia="Arial" w:hAnsi="Arial"/>
          <w:b/>
          <w:bCs/>
          <w:color w:val="1F2937"/>
          <w:sz w:val="25"/>
          <w:szCs w:val="25"/>
        </w:rPr>
        <w:t xml:space="preserve">Phase 2 — Activer la monétisation (Mois 3-6)</w:t>
      </w:r>
    </w:p>
    <w:p>
      <w:pPr>
        <w:pStyle w:val="ListParagraph"/>
        <w:numPr>
          <w:ilvl w:val="0"/>
          <w:numId w:val="3"/>
        </w:numPr>
        <w:spacing w:after="80" w:line="270"/>
      </w:pPr>
      <w:r>
        <w:rPr>
          <w:rFonts w:ascii="Arial" w:cs="Arial" w:eastAsia="Arial" w:hAnsi="Arial"/>
        </w:rPr>
        <w:t xml:space="preserve">Activer la commission à 5 %, lancer Boost Semaine (offrir 1 semaine gratuite aux 10 meilleurs vendeurs).</w:t>
      </w:r>
    </w:p>
    <w:p>
      <w:pPr>
        <w:pStyle w:val="ListParagraph"/>
        <w:numPr>
          <w:ilvl w:val="0"/>
          <w:numId w:val="3"/>
        </w:numPr>
        <w:spacing w:after="80" w:line="270"/>
      </w:pPr>
      <w:r>
        <w:rPr>
          <w:rFonts w:ascii="Arial" w:cs="Arial" w:eastAsia="Arial" w:hAnsi="Arial"/>
        </w:rPr>
        <w:t xml:space="preserve">Activer Google AdSense (200+ visiteurs/jour → 50-100 K FCFA/mois).</w:t>
      </w:r>
    </w:p>
    <w:p>
      <w:pPr>
        <w:pStyle w:val="ListParagraph"/>
        <w:numPr>
          <w:ilvl w:val="0"/>
          <w:numId w:val="3"/>
        </w:numPr>
        <w:spacing w:after="80" w:line="270"/>
      </w:pPr>
      <w:r>
        <w:rPr>
          <w:rFonts w:ascii="Arial" w:cs="Arial" w:eastAsia="Arial" w:hAnsi="Arial"/>
        </w:rPr>
        <w:t xml:space="preserve">Lancer les mécanismes passifs prioritaires D (notifications) et B (markup logistique).</w:t>
      </w:r>
    </w:p>
    <w:p>
      <w:pPr>
        <w:pStyle w:val="ListParagraph"/>
        <w:numPr>
          <w:ilvl w:val="0"/>
          <w:numId w:val="3"/>
        </w:numPr>
        <w:spacing w:after="80" w:line="270"/>
      </w:pPr>
      <w:r>
        <w:rPr>
          <w:rFonts w:ascii="Arial" w:cs="Arial" w:eastAsia="Arial" w:hAnsi="Arial"/>
        </w:rPr>
        <w:t xml:space="preserve">Programme Ambassadeur officiel + relevé de commissions Wave mensuel.</w:t>
      </w:r>
    </w:p>
    <w:p>
      <w:pPr>
        <w:pStyle w:val="Heading2"/>
        <w:spacing w:after="120" w:before="240"/>
      </w:pPr>
      <w:r>
        <w:rPr>
          <w:rFonts w:ascii="Arial" w:cs="Arial" w:eastAsia="Arial" w:hAnsi="Arial"/>
          <w:b/>
          <w:bCs/>
          <w:color w:val="1F2937"/>
          <w:sz w:val="25"/>
          <w:szCs w:val="25"/>
        </w:rPr>
        <w:t xml:space="preserve">Phase 3 — Croissance organique (Mois 6-12)</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2600"/>
        <w:gridCol w:w="4426"/>
        <w:gridCol w:w="2000"/>
      </w:tblGrid>
      <w:tr>
        <w:trPr>
          <w:tblHeader/>
        </w:trPr>
        <w:tc>
          <w:tcPr>
            <w:tcW w:type="dxa" w:w="26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Action</w:t>
            </w:r>
          </w:p>
        </w:tc>
        <w:tc>
          <w:tcPr>
            <w:tcW w:type="dxa" w:w="44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Objectif</w:t>
            </w:r>
          </w:p>
        </w:tc>
        <w:tc>
          <w:tcPr>
            <w:tcW w:type="dxa" w:w="20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Délai</w:t>
            </w:r>
          </w:p>
        </w:tc>
      </w:tr>
      <w:tr>
        <w:tc>
          <w:tcPr>
            <w:tcW w:type="dxa" w:w="26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 article SEO/semaine</w:t>
            </w:r>
          </w:p>
        </w:tc>
        <w:tc>
          <w:tcPr>
            <w:tcW w:type="dxa" w:w="44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Ranker « vendre en ligne Sénégal », « marketplace Dakar »</w:t>
            </w:r>
          </w:p>
        </w:tc>
        <w:tc>
          <w:tcPr>
            <w:tcW w:type="dxa" w:w="20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3-6 mois</w:t>
            </w:r>
          </w:p>
        </w:tc>
      </w:tr>
      <w:tr>
        <w:tc>
          <w:tcPr>
            <w:tcW w:type="dxa" w:w="26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Partenariat CESAG/ISM</w:t>
            </w:r>
          </w:p>
        </w:tc>
        <w:tc>
          <w:tcPr>
            <w:tcW w:type="dxa" w:w="44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Stagiaires = ressources gratuites</w:t>
            </w:r>
          </w:p>
        </w:tc>
        <w:tc>
          <w:tcPr>
            <w:tcW w:type="dxa" w:w="20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Immédiat</w:t>
            </w:r>
          </w:p>
        </w:tc>
      </w:tr>
      <w:tr>
        <w:tc>
          <w:tcPr>
            <w:tcW w:type="dxa" w:w="26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Section B2B buyer_pro</w:t>
            </w:r>
          </w:p>
        </w:tc>
        <w:tc>
          <w:tcPr>
            <w:tcW w:type="dxa" w:w="44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Restaurants, hôtels, PME (volume)</w:t>
            </w:r>
          </w:p>
        </w:tc>
        <w:tc>
          <w:tcPr>
            <w:tcW w:type="dxa" w:w="20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 semaine</w:t>
            </w:r>
          </w:p>
        </w:tc>
      </w:tr>
      <w:tr>
        <w:tc>
          <w:tcPr>
            <w:tcW w:type="dxa" w:w="26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 Boutique du mois »</w:t>
            </w:r>
          </w:p>
        </w:tc>
        <w:tc>
          <w:tcPr>
            <w:tcW w:type="dxa" w:w="44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Mise en avant + interview</w:t>
            </w:r>
          </w:p>
        </w:tc>
        <w:tc>
          <w:tcPr>
            <w:tcW w:type="dxa" w:w="20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Mensuel</w:t>
            </w:r>
          </w:p>
        </w:tc>
      </w:tr>
      <w:tr>
        <w:tc>
          <w:tcPr>
            <w:tcW w:type="dxa" w:w="26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Intégrer API livraison</w:t>
            </w:r>
          </w:p>
        </w:tc>
        <w:tc>
          <w:tcPr>
            <w:tcW w:type="dxa" w:w="44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Réduire la friction logistique</w:t>
            </w:r>
          </w:p>
        </w:tc>
        <w:tc>
          <w:tcPr>
            <w:tcW w:type="dxa" w:w="20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2-3 mois</w:t>
            </w:r>
          </w:p>
        </w:tc>
      </w:tr>
      <w:tr>
        <w:tc>
          <w:tcPr>
            <w:tcW w:type="dxa" w:w="26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Activer Push VAPID</w:t>
            </w:r>
          </w:p>
        </w:tc>
        <w:tc>
          <w:tcPr>
            <w:tcW w:type="dxa" w:w="44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Réengagement (30 % ouverture vs 3 % email)</w:t>
            </w:r>
          </w:p>
        </w:tc>
        <w:tc>
          <w:tcPr>
            <w:tcW w:type="dxa" w:w="20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 semaine</w:t>
            </w:r>
          </w:p>
        </w:tc>
      </w:tr>
    </w:tbl>
    <w:p>
      <w:pPr>
        <w:pStyle w:val="Heading2"/>
        <w:spacing w:after="120" w:before="240"/>
      </w:pPr>
      <w:r>
        <w:rPr>
          <w:rFonts w:ascii="Arial" w:cs="Arial" w:eastAsia="Arial" w:hAnsi="Arial"/>
          <w:b/>
          <w:bCs/>
          <w:color w:val="1F2937"/>
          <w:sz w:val="25"/>
          <w:szCs w:val="25"/>
        </w:rPr>
        <w:t xml:space="preserve">Phase 4 — Expansion régionale (Année 2)</w:t>
      </w:r>
    </w:p>
    <w:p>
      <w:pPr>
        <w:spacing w:after="120" w:line="276"/>
      </w:pPr>
      <w:r>
        <w:rPr>
          <w:rFonts w:ascii="Arial" w:cs="Arial" w:eastAsia="Arial" w:hAnsi="Arial"/>
        </w:rPr>
        <w:t xml:space="preserve">CEDEAO : Côte d’Ivoire, Mali, Guinée — même problématique de confiance. Réplication du modèle escrow + Wolof/langues locales, après consolidation du marché sénégalais et validation de la conformité (§11).</w:t>
      </w:r>
    </w:p>
    <w:p>
      <w:pPr>
        <w:pStyle w:val="Heading1"/>
        <w:pageBreakBefore/>
        <w:spacing w:after="160" w:before="320"/>
      </w:pPr>
      <w:r>
        <w:rPr>
          <w:rFonts w:ascii="Arial" w:cs="Arial" w:eastAsia="Arial" w:hAnsi="Arial"/>
          <w:b/>
          <w:bCs/>
          <w:color w:val="00853E"/>
          <w:sz w:val="30"/>
          <w:szCs w:val="30"/>
        </w:rPr>
        <w:t xml:space="preserve">9. Plan marketing guerrilla — battre les géants sans argent</w:t>
      </w:r>
    </w:p>
    <w:tbl>
      <w:tblPr>
        <w:tblW w:type="dxa" w:w="9026"/>
        <w:tblBorders>
          <w:top w:val="single" w:color="E3F2EA" w:sz="1"/>
          <w:left w:val="single" w:color="00853E" w:sz="18"/>
          <w:bottom w:val="single" w:color="E3F2EA" w:sz="1"/>
          <w:right w:val="single" w:color="E3F2EA" w:sz="1"/>
          <w:insideH w:val="single" w:color="auto" w:sz="4"/>
          <w:insideV w:val="single" w:color="auto" w:sz="4"/>
        </w:tblBorders>
      </w:tblPr>
      <w:tblGrid>
        <w:gridCol w:w="9026"/>
      </w:tblGrid>
      <w:tr>
        <w:tc>
          <w:tcPr>
            <w:shd w:fill="E3F2EA" w:val="clear"/>
            <w:tcMar>
              <w:top w:type="dxa" w:w="120"/>
              <w:left w:type="dxa" w:w="200"/>
              <w:bottom w:type="dxa" w:w="120"/>
              <w:right w:type="dxa" w:w="160"/>
            </w:tcMar>
          </w:tcPr>
          <w:p>
            <w:pPr>
              <w:spacing w:after="80"/>
            </w:pPr>
            <w:r>
              <w:rPr>
                <w:rFonts w:ascii="Arial" w:cs="Arial" w:eastAsia="Arial" w:hAnsi="Arial"/>
                <w:b/>
                <w:bCs/>
                <w:color w:val="00853E"/>
                <w:sz w:val="22"/>
                <w:szCs w:val="22"/>
              </w:rPr>
              <w:t xml:space="preserve">Principe</w:t>
            </w:r>
          </w:p>
          <w:p>
            <w:pPr>
              <w:spacing w:after="60" w:line="264"/>
            </w:pPr>
            <w:r>
              <w:rPr>
                <w:rFonts w:ascii="Arial" w:cs="Arial" w:eastAsia="Arial" w:hAnsi="Arial"/>
                <w:sz w:val="21"/>
                <w:szCs w:val="21"/>
              </w:rPr>
              <w:t xml:space="preserve">Les géants dépensent des millions pour acheter l’attention. Nous allons la mériter : plus de valeur, plus de proximité, la langue des gens (le Wolof), et résoudre des problèmes que Jiji ignore.</w:t>
            </w:r>
          </w:p>
        </w:tc>
      </w:tr>
    </w:tbl>
    <w:p>
      <w:pPr>
        <w:pStyle w:val="Heading2"/>
        <w:spacing w:after="120" w:before="240"/>
      </w:pPr>
      <w:r>
        <w:rPr>
          <w:rFonts w:ascii="Arial" w:cs="Arial" w:eastAsia="Arial" w:hAnsi="Arial"/>
          <w:b/>
          <w:bCs/>
          <w:color w:val="1F2937"/>
          <w:sz w:val="25"/>
          <w:szCs w:val="25"/>
        </w:rPr>
        <w:t xml:space="preserve">9.1 WhatsApp comme canal principal (0 FCFA)</w:t>
      </w:r>
    </w:p>
    <w:p>
      <w:pPr>
        <w:pStyle w:val="ListParagraph"/>
        <w:numPr>
          <w:ilvl w:val="0"/>
          <w:numId w:val="3"/>
        </w:numPr>
        <w:spacing w:after="80" w:line="270"/>
      </w:pPr>
      <w:r>
        <w:rPr>
          <w:rFonts w:ascii="Arial" w:cs="Arial" w:eastAsia="Arial" w:hAnsi="Arial"/>
        </w:rPr>
        <w:t xml:space="preserve">Groupe « Vendeurs NEXUS » : fonctionnalités, tips, success stories.</w:t>
      </w:r>
    </w:p>
    <w:p>
      <w:pPr>
        <w:pStyle w:val="ListParagraph"/>
        <w:numPr>
          <w:ilvl w:val="0"/>
          <w:numId w:val="3"/>
        </w:numPr>
        <w:spacing w:after="80" w:line="270"/>
      </w:pPr>
      <w:r>
        <w:rPr>
          <w:rFonts w:ascii="Arial" w:cs="Arial" w:eastAsia="Arial" w:hAnsi="Arial"/>
        </w:rPr>
        <w:t xml:space="preserve">Broadcasts : lundi (top annonces), vendredi (ventes flash), 1er du mois (classement vendeurs).</w:t>
      </w:r>
    </w:p>
    <w:p>
      <w:pPr>
        <w:pStyle w:val="ListParagraph"/>
        <w:numPr>
          <w:ilvl w:val="0"/>
          <w:numId w:val="3"/>
        </w:numPr>
        <w:spacing w:after="80" w:line="270"/>
      </w:pPr>
      <w:r>
        <w:rPr>
          <w:rFonts w:ascii="Arial" w:cs="Arial" w:eastAsia="Arial" w:hAnsi="Arial"/>
        </w:rPr>
        <w:t xml:space="preserve">Messages automatiques Green API : félicitations à la 1re vente + rappel programme ambassadeur.</w:t>
      </w:r>
    </w:p>
    <w:p>
      <w:pPr>
        <w:pStyle w:val="ListParagraph"/>
        <w:numPr>
          <w:ilvl w:val="0"/>
          <w:numId w:val="3"/>
        </w:numPr>
        <w:spacing w:after="80" w:line="270"/>
      </w:pPr>
      <w:r>
        <w:rPr>
          <w:rFonts w:ascii="Arial" w:cs="Arial" w:eastAsia="Arial" w:hAnsi="Arial"/>
        </w:rPr>
        <w:t xml:space="preserve">Partage viral des success stories (« Aminata a vendu 15 robes en 2 semaines »).</w:t>
      </w:r>
    </w:p>
    <w:tbl>
      <w:tblPr>
        <w:tblW w:type="dxa" w:w="9026"/>
        <w:tblBorders>
          <w:top w:val="single" w:color="FBF3E2" w:sz="1"/>
          <w:left w:val="single" w:color="B7791F" w:sz="18"/>
          <w:bottom w:val="single" w:color="FBF3E2" w:sz="1"/>
          <w:right w:val="single" w:color="FBF3E2" w:sz="1"/>
          <w:insideH w:val="single" w:color="auto" w:sz="4"/>
          <w:insideV w:val="single" w:color="auto" w:sz="4"/>
        </w:tblBorders>
      </w:tblPr>
      <w:tblGrid>
        <w:gridCol w:w="9026"/>
      </w:tblGrid>
      <w:tr>
        <w:tc>
          <w:tcPr>
            <w:shd w:fill="FBF3E2" w:val="clear"/>
            <w:tcMar>
              <w:top w:type="dxa" w:w="120"/>
              <w:left w:type="dxa" w:w="200"/>
              <w:bottom w:type="dxa" w:w="120"/>
              <w:right w:type="dxa" w:w="160"/>
            </w:tcMar>
          </w:tcPr>
          <w:p>
            <w:pPr>
              <w:spacing w:after="80"/>
            </w:pPr>
            <w:r>
              <w:rPr>
                <w:rFonts w:ascii="Arial" w:cs="Arial" w:eastAsia="Arial" w:hAnsi="Arial"/>
                <w:b/>
                <w:bCs/>
                <w:color w:val="B7791F"/>
                <w:sz w:val="22"/>
                <w:szCs w:val="22"/>
              </w:rPr>
              <w:t xml:space="preserve">Diversification des canaux (RT-07 — ne jamais dépendre d’un seul canal)</w:t>
            </w:r>
          </w:p>
          <w:p>
            <w:pPr>
              <w:spacing w:after="60" w:line="264"/>
            </w:pPr>
            <w:r>
              <w:rPr>
                <w:rFonts w:ascii="Arial" w:cs="Arial" w:eastAsia="Arial" w:hAnsi="Arial"/>
              </w:rPr>
              <w:t xml:space="preserve">WhatsApp peut bannir un numéro signalé comme « commercial ». </w:t>
            </w:r>
            <w:r>
              <w:rPr>
                <w:rFonts w:ascii="Arial" w:cs="Arial" w:eastAsia="Arial" w:hAnsi="Arial"/>
                <w:b/>
                <w:bCs/>
              </w:rPr>
              <w:t xml:space="preserve">Construire dès maintenant : </w:t>
            </w:r>
            <w:r>
              <w:rPr>
                <w:rFonts w:ascii="Arial" w:cs="Arial" w:eastAsia="Arial" w:hAnsi="Arial"/>
              </w:rPr>
              <w:t xml:space="preserve">liste email (Brevo, 300 emails/jour gratuits), notifications Push VAPID (déjà codées), canal Telegram de secours. WhatsApp = canal principal, jamais unique.</w:t>
            </w:r>
          </w:p>
        </w:tc>
      </w:tr>
    </w:tbl>
    <w:p>
      <w:pPr>
        <w:pStyle w:val="Heading2"/>
        <w:spacing w:after="120" w:before="240"/>
      </w:pPr>
      <w:r>
        <w:rPr>
          <w:rFonts w:ascii="Arial" w:cs="Arial" w:eastAsia="Arial" w:hAnsi="Arial"/>
          <w:b/>
          <w:bCs/>
          <w:color w:val="1F2937"/>
          <w:sz w:val="25"/>
          <w:szCs w:val="25"/>
        </w:rPr>
        <w:t xml:space="preserve">9.2 Contenu SEO local (votre temps)</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3200"/>
        <w:gridCol w:w="1500"/>
        <w:gridCol w:w="2800"/>
        <w:gridCol w:w="1526"/>
      </w:tblGrid>
      <w:tr>
        <w:trPr>
          <w:tblHeader/>
        </w:trPr>
        <w:tc>
          <w:tcPr>
            <w:tcW w:type="dxa" w:w="32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Mot-clé cible</w:t>
            </w:r>
          </w:p>
        </w:tc>
        <w:tc>
          <w:tcPr>
            <w:tcW w:type="dxa" w:w="15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Volume/mois</w:t>
            </w:r>
          </w:p>
        </w:tc>
        <w:tc>
          <w:tcPr>
            <w:tcW w:type="dxa" w:w="28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Article</w:t>
            </w:r>
          </w:p>
        </w:tc>
        <w:tc>
          <w:tcPr>
            <w:tcW w:type="dxa" w:w="15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Délai</w:t>
            </w:r>
          </w:p>
        </w:tc>
      </w:tr>
      <w:tr>
        <w:tc>
          <w:tcPr>
            <w:tcW w:type="dxa" w:w="32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vendre en ligne Sénégal</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500-1000</w:t>
            </w:r>
          </w:p>
        </w:tc>
        <w:tc>
          <w:tcPr>
            <w:tcW w:type="dxa" w:w="28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Guide complet 2025</w:t>
            </w:r>
          </w:p>
        </w:tc>
        <w:tc>
          <w:tcPr>
            <w:tcW w:type="dxa" w:w="15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3-6 mois</w:t>
            </w:r>
          </w:p>
        </w:tc>
      </w:tr>
      <w:tr>
        <w:tc>
          <w:tcPr>
            <w:tcW w:type="dxa" w:w="32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petites annonces Dakar</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800-2000</w:t>
            </w:r>
          </w:p>
        </w:tc>
        <w:tc>
          <w:tcPr>
            <w:tcW w:type="dxa" w:w="28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10 meilleures plateformes</w:t>
            </w:r>
          </w:p>
        </w:tc>
        <w:tc>
          <w:tcPr>
            <w:tcW w:type="dxa" w:w="15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3-6 mois</w:t>
            </w:r>
          </w:p>
        </w:tc>
      </w:tr>
      <w:tr>
        <w:tc>
          <w:tcPr>
            <w:tcW w:type="dxa" w:w="32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marketplace Sénégal</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300-500</w:t>
            </w:r>
          </w:p>
        </w:tc>
        <w:tc>
          <w:tcPr>
            <w:tcW w:type="dxa" w:w="28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Comparatif Jiji vs NEXUS vs FB</w:t>
            </w:r>
          </w:p>
        </w:tc>
        <w:tc>
          <w:tcPr>
            <w:tcW w:type="dxa" w:w="15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2-4 mois</w:t>
            </w:r>
          </w:p>
        </w:tc>
      </w:tr>
      <w:tr>
        <w:tc>
          <w:tcPr>
            <w:tcW w:type="dxa" w:w="32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acheter téléphone occasion Dakar</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400-800</w:t>
            </w:r>
          </w:p>
        </w:tc>
        <w:tc>
          <w:tcPr>
            <w:tcW w:type="dxa" w:w="28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Acheter un smartphone sécurisé</w:t>
            </w:r>
          </w:p>
        </w:tc>
        <w:tc>
          <w:tcPr>
            <w:tcW w:type="dxa" w:w="15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3-5 mois</w:t>
            </w:r>
          </w:p>
        </w:tc>
      </w:tr>
      <w:tr>
        <w:tc>
          <w:tcPr>
            <w:tcW w:type="dxa" w:w="32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comment vendre sur WhatsApp Sénégal</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200-400</w:t>
            </w:r>
          </w:p>
        </w:tc>
        <w:tc>
          <w:tcPr>
            <w:tcW w:type="dxa" w:w="28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Limites de WhatsApp &amp; alternative</w:t>
            </w:r>
          </w:p>
        </w:tc>
        <w:tc>
          <w:tcPr>
            <w:tcW w:type="dxa" w:w="15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2-3 mois</w:t>
            </w:r>
          </w:p>
        </w:tc>
      </w:tr>
    </w:tbl>
    <w:p>
      <w:pPr>
        <w:pStyle w:val="Heading2"/>
        <w:spacing w:after="120" w:before="240"/>
      </w:pPr>
      <w:r>
        <w:rPr>
          <w:rFonts w:ascii="Arial" w:cs="Arial" w:eastAsia="Arial" w:hAnsi="Arial"/>
          <w:b/>
          <w:bCs/>
          <w:color w:val="1F2937"/>
          <w:sz w:val="25"/>
          <w:szCs w:val="25"/>
        </w:rPr>
        <w:t xml:space="preserve">9.3 Partenariats communautaires à coût zéro</w:t>
      </w:r>
    </w:p>
    <w:p>
      <w:pPr>
        <w:pStyle w:val="ListParagraph"/>
        <w:numPr>
          <w:ilvl w:val="0"/>
          <w:numId w:val="3"/>
        </w:numPr>
        <w:spacing w:after="80" w:line="270"/>
      </w:pPr>
      <w:r>
        <w:rPr>
          <w:rFonts w:ascii="Arial" w:cs="Arial" w:eastAsia="Arial" w:hAnsi="Arial"/>
        </w:rPr>
        <w:t xml:space="preserve">Associations de commerçants (UNACOIS, FENAPAB) : démo lors de leur réunion → diffusion à 1000+ membres.</w:t>
      </w:r>
    </w:p>
    <w:p>
      <w:pPr>
        <w:pStyle w:val="ListParagraph"/>
        <w:numPr>
          <w:ilvl w:val="0"/>
          <w:numId w:val="3"/>
        </w:numPr>
        <w:spacing w:after="80" w:line="270"/>
      </w:pPr>
      <w:r>
        <w:rPr>
          <w:rFonts w:ascii="Arial" w:cs="Arial" w:eastAsia="Arial" w:hAnsi="Arial"/>
        </w:rPr>
        <w:t xml:space="preserve">Radios communautaires en Wolof (RFM, Walf FM) : interview « comment vendre en ligne ».</w:t>
      </w:r>
    </w:p>
    <w:p>
      <w:pPr>
        <w:pStyle w:val="ListParagraph"/>
        <w:numPr>
          <w:ilvl w:val="0"/>
          <w:numId w:val="3"/>
        </w:numPr>
        <w:spacing w:after="80" w:line="270"/>
      </w:pPr>
      <w:r>
        <w:rPr>
          <w:rFonts w:ascii="Arial" w:cs="Arial" w:eastAsia="Arial" w:hAnsi="Arial"/>
        </w:rPr>
        <w:t xml:space="preserve">Universités (UCAD, UGB) : concours « Meilleur vendeur étudiant » (prix 50 000 FCFA) → contenu viral.</w:t>
      </w:r>
    </w:p>
    <w:p>
      <w:pPr>
        <w:pStyle w:val="ListParagraph"/>
        <w:numPr>
          <w:ilvl w:val="0"/>
          <w:numId w:val="3"/>
        </w:numPr>
        <w:spacing w:after="80" w:line="270"/>
      </w:pPr>
      <w:r>
        <w:rPr>
          <w:rFonts w:ascii="Arial" w:cs="Arial" w:eastAsia="Arial" w:hAnsi="Arial"/>
          <w:b/>
          <w:bCs/>
        </w:rPr>
        <w:t xml:space="preserve">Diaspora — tester le parcours avant de promouvoir (RT-09)</w:t>
      </w:r>
      <w:r>
        <w:rPr>
          <w:rFonts w:ascii="Arial" w:cs="Arial" w:eastAsia="Arial" w:hAnsi="Arial"/>
        </w:rPr>
        <w:t xml:space="preserve"> : un acheteur en France payant un vendeur à Dakar ; si &gt; 5 min ou &gt; 3 % de frais, retravailler avant de cibler.</w:t>
      </w:r>
    </w:p>
    <w:p>
      <w:pPr>
        <w:pStyle w:val="Heading1"/>
        <w:pageBreakBefore/>
        <w:spacing w:after="160" w:before="320"/>
      </w:pPr>
      <w:r>
        <w:rPr>
          <w:rFonts w:ascii="Arial" w:cs="Arial" w:eastAsia="Arial" w:hAnsi="Arial"/>
          <w:b/>
          <w:bCs/>
          <w:color w:val="00853E"/>
          <w:sz w:val="30"/>
          <w:szCs w:val="30"/>
        </w:rPr>
        <w:t xml:space="preserve">10. Différenciateurs &amp; douves — ce que Jiji ne peut pas copier vite</w:t>
      </w:r>
    </w:p>
    <w:p>
      <w:pPr>
        <w:spacing w:after="120" w:line="276"/>
      </w:pPr>
      <w:r>
        <w:rPr>
          <w:rFonts w:ascii="Arial" w:cs="Arial" w:eastAsia="Arial" w:hAnsi="Arial"/>
        </w:rPr>
        <w:t xml:space="preserve">Un géant copie une fonctionnalité en 3 mois. Il ne copie pas une culture, une communauté locale et une vitesse d’adaptation.</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2200"/>
        <w:gridCol w:w="3700"/>
        <w:gridCol w:w="3126"/>
      </w:tblGrid>
      <w:tr>
        <w:trPr>
          <w:tblHeader/>
        </w:trPr>
        <w:tc>
          <w:tcPr>
            <w:tcW w:type="dxa" w:w="22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Avantage</w:t>
            </w:r>
          </w:p>
        </w:tc>
        <w:tc>
          <w:tcPr>
            <w:tcW w:type="dxa" w:w="37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Pourquoi non-réplicable vite</w:t>
            </w:r>
          </w:p>
        </w:tc>
        <w:tc>
          <w:tcPr>
            <w:tcW w:type="dxa" w:w="31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Comment l’exploiter</w:t>
            </w:r>
          </w:p>
        </w:tc>
      </w:tr>
      <w:tr>
        <w:tc>
          <w:tcPr>
            <w:tcW w:type="dxa" w:w="22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Sénégalais par &amp; pour</w:t>
            </w:r>
          </w:p>
        </w:tc>
        <w:tc>
          <w:tcPr>
            <w:tcW w:type="dxa" w:w="37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Jiji décide à Lagos, aucun manager à Dakar</w:t>
            </w:r>
          </w:p>
        </w:tc>
        <w:tc>
          <w:tcPr>
            <w:tcW w:type="dxa" w:w="31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 Made in Sénégal », alternative patriotique</w:t>
            </w:r>
          </w:p>
        </w:tc>
      </w:tr>
      <w:tr>
        <w:tc>
          <w:tcPr>
            <w:tcW w:type="dxa" w:w="22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Wolof natif</w:t>
            </w:r>
          </w:p>
        </w:tc>
        <w:tc>
          <w:tcPr>
            <w:tcW w:type="dxa" w:w="37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6-12 mois de travail pour un grand groupe</w:t>
            </w:r>
          </w:p>
        </w:tc>
        <w:tc>
          <w:tcPr>
            <w:tcW w:type="dxa" w:w="31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Seule plateforme en Wolof</w:t>
            </w:r>
          </w:p>
        </w:tc>
      </w:tr>
      <w:tr>
        <w:tc>
          <w:tcPr>
            <w:tcW w:type="dxa" w:w="22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Escrow</w:t>
            </w:r>
          </w:p>
        </w:tc>
        <w:tc>
          <w:tcPr>
            <w:tcW w:type="dxa" w:w="37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Responsabilité financière que Jiji refuse</w:t>
            </w:r>
          </w:p>
        </w:tc>
        <w:tc>
          <w:tcPr>
            <w:tcW w:type="dxa" w:w="31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 Votre argent protégé jusqu’à réception »</w:t>
            </w:r>
          </w:p>
        </w:tc>
      </w:tr>
      <w:tr>
        <w:tc>
          <w:tcPr>
            <w:tcW w:type="dxa" w:w="22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Express sans compte</w:t>
            </w:r>
          </w:p>
        </w:tc>
        <w:tc>
          <w:tcPr>
            <w:tcW w:type="dxa" w:w="37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Casser cette friction nuit à leur modèle</w:t>
            </w:r>
          </w:p>
        </w:tc>
        <w:tc>
          <w:tcPr>
            <w:tcW w:type="dxa" w:w="31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Cibler non-connectés, petits vendeurs</w:t>
            </w:r>
          </w:p>
        </w:tc>
      </w:tr>
      <w:tr>
        <w:tc>
          <w:tcPr>
            <w:tcW w:type="dxa" w:w="22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IA locale (Groq + Wolof)</w:t>
            </w:r>
          </w:p>
        </w:tc>
        <w:tc>
          <w:tcPr>
            <w:tcW w:type="dxa" w:w="37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2-3 ans de R&amp;D pour l’Afrique</w:t>
            </w:r>
          </w:p>
        </w:tc>
        <w:tc>
          <w:tcPr>
            <w:tcW w:type="dxa" w:w="31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 Parlez en Wolof, NEXUS crée l’annonce »</w:t>
            </w:r>
          </w:p>
        </w:tc>
      </w:tr>
      <w:tr>
        <w:tc>
          <w:tcPr>
            <w:tcW w:type="dxa" w:w="22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Vitesse startup solo</w:t>
            </w:r>
          </w:p>
        </w:tc>
        <w:tc>
          <w:tcPr>
            <w:tcW w:type="dxa" w:w="37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Jiji : 6-18 mois par feature</w:t>
            </w:r>
          </w:p>
        </w:tc>
        <w:tc>
          <w:tcPr>
            <w:tcW w:type="dxa" w:w="31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Feedback WhatsApp → déploiement 48 h</w:t>
            </w:r>
          </w:p>
        </w:tc>
      </w:tr>
    </w:tbl>
    <w:tbl>
      <w:tblPr>
        <w:tblW w:type="dxa" w:w="9026"/>
        <w:tblBorders>
          <w:top w:val="single" w:color="FBF3E2" w:sz="1"/>
          <w:left w:val="single" w:color="B7791F" w:sz="18"/>
          <w:bottom w:val="single" w:color="FBF3E2" w:sz="1"/>
          <w:right w:val="single" w:color="FBF3E2" w:sz="1"/>
          <w:insideH w:val="single" w:color="auto" w:sz="4"/>
          <w:insideV w:val="single" w:color="auto" w:sz="4"/>
        </w:tblBorders>
      </w:tblPr>
      <w:tblGrid>
        <w:gridCol w:w="9026"/>
      </w:tblGrid>
      <w:tr>
        <w:tc>
          <w:tcPr>
            <w:shd w:fill="FBF3E2" w:val="clear"/>
            <w:tcMar>
              <w:top w:type="dxa" w:w="120"/>
              <w:left w:type="dxa" w:w="200"/>
              <w:bottom w:type="dxa" w:w="120"/>
              <w:right w:type="dxa" w:w="160"/>
            </w:tcMar>
          </w:tcPr>
          <w:p>
            <w:pPr>
              <w:spacing w:after="80"/>
            </w:pPr>
            <w:r>
              <w:rPr>
                <w:rFonts w:ascii="Arial" w:cs="Arial" w:eastAsia="Arial" w:hAnsi="Arial"/>
                <w:b/>
                <w:bCs/>
                <w:color w:val="B7791F"/>
                <w:sz w:val="22"/>
                <w:szCs w:val="22"/>
              </w:rPr>
              <w:t xml:space="preserve">Anti « Jiji Protect » (PM-05 — si Jiji réplique avec 10 M FCFA de budget)</w:t>
            </w:r>
          </w:p>
          <w:p>
            <w:pPr>
              <w:spacing w:after="60" w:line="264"/>
            </w:pPr>
            <w:r>
              <w:rPr>
                <w:rFonts w:ascii="Arial" w:cs="Arial" w:eastAsia="Arial" w:hAnsi="Arial"/>
                <w:b/>
                <w:bCs/>
              </w:rPr>
              <w:t xml:space="preserve">Construire la communauté AVANT le produit</w:t>
            </w:r>
            <w:r>
              <w:rPr>
                <w:rFonts w:ascii="Arial" w:cs="Arial" w:eastAsia="Arial" w:hAnsi="Arial"/>
              </w:rPr>
              <w:t xml:space="preserve"> — une base d’ambassadeurs et un groupe de 500 vendeurs fidèles ne se copient pas avec du budget.</w:t>
            </w:r>
          </w:p>
          <w:p>
            <w:pPr>
              <w:spacing w:after="60" w:line="264"/>
            </w:pPr>
            <w:r>
              <w:rPr>
                <w:rFonts w:ascii="Arial" w:cs="Arial" w:eastAsia="Arial" w:hAnsi="Arial"/>
                <w:b/>
                <w:bCs/>
              </w:rPr>
              <w:t xml:space="preserve">Déposer la marque NEXUS Market à l’OAPI</w:t>
            </w:r>
            <w:r>
              <w:rPr>
                <w:rFonts w:ascii="Arial" w:cs="Arial" w:eastAsia="Arial" w:hAnsi="Arial"/>
              </w:rPr>
              <w:t xml:space="preserve"> (Organisation Africaine de la Propriété Intellectuelle).</w:t>
            </w:r>
          </w:p>
          <w:p>
            <w:pPr>
              <w:spacing w:after="60" w:line="264"/>
            </w:pPr>
            <w:r>
              <w:rPr>
                <w:rFonts w:ascii="Arial" w:cs="Arial" w:eastAsia="Arial" w:hAnsi="Arial"/>
                <w:b/>
                <w:bCs/>
              </w:rPr>
              <w:t xml:space="preserve">Créer des switching costs</w:t>
            </w:r>
            <w:r>
              <w:rPr>
                <w:rFonts w:ascii="Arial" w:cs="Arial" w:eastAsia="Arial" w:hAnsi="Arial"/>
              </w:rPr>
              <w:t xml:space="preserve"> (historique de réputation, points fidélité) rendant le départ coûteux.</w:t>
            </w:r>
          </w:p>
          <w:p>
            <w:pPr>
              <w:spacing w:after="60" w:line="264"/>
            </w:pPr>
            <w:r>
              <w:rPr>
                <w:rFonts w:ascii="Arial" w:cs="Arial" w:eastAsia="Arial" w:hAnsi="Arial"/>
                <w:b/>
                <w:bCs/>
              </w:rPr>
              <w:t xml:space="preserve">Ancrage culturel wolof/sénégalais</w:t>
            </w:r>
            <w:r>
              <w:rPr>
                <w:rFonts w:ascii="Arial" w:cs="Arial" w:eastAsia="Arial" w:hAnsi="Arial"/>
              </w:rPr>
              <w:t xml:space="preserve"> — non-copiable depuis Lagos.</w:t>
            </w:r>
          </w:p>
        </w:tc>
      </w:tr>
    </w:tbl>
    <w:p>
      <w:pPr>
        <w:pStyle w:val="Heading1"/>
        <w:pageBreakBefore/>
        <w:spacing w:after="160" w:before="320"/>
      </w:pPr>
      <w:r>
        <w:rPr>
          <w:rFonts w:ascii="Arial" w:cs="Arial" w:eastAsia="Arial" w:hAnsi="Arial"/>
          <w:b/>
          <w:bCs/>
          <w:color w:val="00853E"/>
          <w:sz w:val="30"/>
          <w:szCs w:val="30"/>
        </w:rPr>
        <w:t xml:space="preserve">11. Conformité, escrow &amp; sécurité opérationnelle</w:t>
      </w:r>
    </w:p>
    <w:p>
      <w:pPr>
        <w:spacing w:after="120" w:line="276"/>
      </w:pPr>
      <w:r>
        <w:rPr>
          <w:rFonts w:ascii="Arial" w:cs="Arial" w:eastAsia="Arial" w:hAnsi="Arial"/>
        </w:rPr>
        <w:t xml:space="preserve">L’escrow est l’USP central — et le risque opérationnel le plus sérieux (RT-04, PM-03, PM-06). Il doit être sécurisé juridiquement et techniquement avant la montée en charge.</w:t>
      </w:r>
    </w:p>
    <w:p>
      <w:pPr>
        <w:pStyle w:val="Heading2"/>
        <w:spacing w:after="120" w:before="240"/>
      </w:pPr>
      <w:r>
        <w:rPr>
          <w:rFonts w:ascii="Arial" w:cs="Arial" w:eastAsia="Arial" w:hAnsi="Arial"/>
          <w:b/>
          <w:bCs/>
          <w:color w:val="1F2937"/>
          <w:sz w:val="25"/>
          <w:szCs w:val="25"/>
        </w:rPr>
        <w:t xml:space="preserve">11.1 Cadre réglementaire BCEAO</w:t>
      </w:r>
    </w:p>
    <w:p>
      <w:pPr>
        <w:pStyle w:val="ListParagraph"/>
        <w:numPr>
          <w:ilvl w:val="0"/>
          <w:numId w:val="3"/>
        </w:numPr>
        <w:spacing w:after="80" w:line="270"/>
      </w:pPr>
      <w:r>
        <w:rPr>
          <w:rFonts w:ascii="Arial" w:cs="Arial" w:eastAsia="Arial" w:hAnsi="Arial"/>
          <w:b/>
          <w:bCs/>
        </w:rPr>
        <w:t xml:space="preserve">Consulter un juriste BCEAO sous 30 jours</w:t>
      </w:r>
      <w:r>
        <w:rPr>
          <w:rFonts w:ascii="Arial" w:cs="Arial" w:eastAsia="Arial" w:hAnsi="Arial"/>
        </w:rPr>
        <w:t xml:space="preserve"> — cartographier les obligations (Instruction 008-05-2015 sur la monnaie électronique).</w:t>
      </w:r>
    </w:p>
    <w:p>
      <w:pPr>
        <w:pStyle w:val="ListParagraph"/>
        <w:numPr>
          <w:ilvl w:val="0"/>
          <w:numId w:val="3"/>
        </w:numPr>
        <w:spacing w:after="80" w:line="270"/>
      </w:pPr>
      <w:r>
        <w:rPr>
          <w:rFonts w:ascii="Arial" w:cs="Arial" w:eastAsia="Arial" w:hAnsi="Arial"/>
          <w:b/>
          <w:bCs/>
        </w:rPr>
        <w:t xml:space="preserve">Structurer un partenariat avec une banque agréée</w:t>
      </w:r>
      <w:r>
        <w:rPr>
          <w:rFonts w:ascii="Arial" w:cs="Arial" w:eastAsia="Arial" w:hAnsi="Arial"/>
        </w:rPr>
        <w:t xml:space="preserve"> (BICIS, Ecobank) pour héberger les fonds escrow avant 100 M FCFA cumulés.</w:t>
      </w:r>
    </w:p>
    <w:p>
      <w:pPr>
        <w:pStyle w:val="ListParagraph"/>
        <w:numPr>
          <w:ilvl w:val="0"/>
          <w:numId w:val="3"/>
        </w:numPr>
        <w:spacing w:after="80" w:line="270"/>
      </w:pPr>
      <w:r>
        <w:rPr>
          <w:rFonts w:ascii="Arial" w:cs="Arial" w:eastAsia="Arial" w:hAnsi="Arial"/>
        </w:rPr>
        <w:t xml:space="preserve">Rejoindre l’Association Sénégalaise des Startups Numériques pour un lobbying réglementaire groupé.</w:t>
      </w:r>
    </w:p>
    <w:p>
      <w:pPr>
        <w:pStyle w:val="ListParagraph"/>
        <w:numPr>
          <w:ilvl w:val="0"/>
          <w:numId w:val="3"/>
        </w:numPr>
        <w:spacing w:after="80" w:line="270"/>
      </w:pPr>
      <w:r>
        <w:rPr>
          <w:rFonts w:ascii="Arial" w:cs="Arial" w:eastAsia="Arial" w:hAnsi="Arial"/>
        </w:rPr>
        <w:t xml:space="preserve">Préparer un modèle alternatif (garantie assurancielle NSIA) si l’escrow direct est bloqué.</w:t>
      </w:r>
    </w:p>
    <w:p>
      <w:pPr>
        <w:pStyle w:val="Heading2"/>
        <w:spacing w:after="120" w:before="240"/>
      </w:pPr>
      <w:r>
        <w:rPr>
          <w:rFonts w:ascii="Arial" w:cs="Arial" w:eastAsia="Arial" w:hAnsi="Arial"/>
          <w:b/>
          <w:bCs/>
          <w:color w:val="1F2937"/>
          <w:sz w:val="25"/>
          <w:szCs w:val="25"/>
        </w:rPr>
        <w:t xml:space="preserve">11.2 Garde-fous anti-fraude</w:t>
      </w:r>
    </w:p>
    <w:p>
      <w:pPr>
        <w:pStyle w:val="ListParagraph"/>
        <w:numPr>
          <w:ilvl w:val="0"/>
          <w:numId w:val="3"/>
        </w:numPr>
        <w:spacing w:after="80" w:line="270"/>
      </w:pPr>
      <w:r>
        <w:rPr>
          <w:rFonts w:ascii="Arial" w:cs="Arial" w:eastAsia="Arial" w:hAnsi="Arial"/>
          <w:b/>
          <w:bCs/>
        </w:rPr>
        <w:t xml:space="preserve">Plafonner l’escrow à 50 000 FCFA/transaction</w:t>
      </w:r>
      <w:r>
        <w:rPr>
          <w:rFonts w:ascii="Arial" w:cs="Arial" w:eastAsia="Arial" w:hAnsi="Arial"/>
        </w:rPr>
        <w:t xml:space="preserve"> pendant les 6 premiers mois.</w:t>
      </w:r>
    </w:p>
    <w:p>
      <w:pPr>
        <w:pStyle w:val="ListParagraph"/>
        <w:numPr>
          <w:ilvl w:val="0"/>
          <w:numId w:val="3"/>
        </w:numPr>
        <w:spacing w:after="80" w:line="270"/>
      </w:pPr>
      <w:r>
        <w:rPr>
          <w:rFonts w:ascii="Arial" w:cs="Arial" w:eastAsia="Arial" w:hAnsi="Arial"/>
          <w:b/>
          <w:bCs/>
        </w:rPr>
        <w:t xml:space="preserve">Validation manuelle (appel téléphonique) de chaque nouveau vendeur</w:t>
      </w:r>
      <w:r>
        <w:rPr>
          <w:rFonts w:ascii="Arial" w:cs="Arial" w:eastAsia="Arial" w:hAnsi="Arial"/>
        </w:rPr>
        <w:t xml:space="preserve"> pendant les 3 premiers mois.</w:t>
      </w:r>
    </w:p>
    <w:p>
      <w:pPr>
        <w:pStyle w:val="ListParagraph"/>
        <w:numPr>
          <w:ilvl w:val="0"/>
          <w:numId w:val="3"/>
        </w:numPr>
        <w:spacing w:after="80" w:line="270"/>
      </w:pPr>
      <w:r>
        <w:rPr>
          <w:rFonts w:ascii="Arial" w:cs="Arial" w:eastAsia="Arial" w:hAnsi="Arial"/>
          <w:b/>
          <w:bCs/>
        </w:rPr>
        <w:t xml:space="preserve">Confirmation de livraison par photo obligatoire</w:t>
      </w:r>
      <w:r>
        <w:rPr>
          <w:rFonts w:ascii="Arial" w:cs="Arial" w:eastAsia="Arial" w:hAnsi="Arial"/>
        </w:rPr>
        <w:t xml:space="preserve"> avant libération des fonds.</w:t>
      </w:r>
    </w:p>
    <w:p>
      <w:pPr>
        <w:pStyle w:val="ListParagraph"/>
        <w:numPr>
          <w:ilvl w:val="0"/>
          <w:numId w:val="3"/>
        </w:numPr>
        <w:spacing w:after="80" w:line="270"/>
      </w:pPr>
      <w:r>
        <w:rPr>
          <w:rFonts w:ascii="Arial" w:cs="Arial" w:eastAsia="Arial" w:hAnsi="Arial"/>
          <w:b/>
          <w:bCs/>
        </w:rPr>
        <w:t xml:space="preserve">Réserve de 200 000 FCFA</w:t>
      </w:r>
      <w:r>
        <w:rPr>
          <w:rFonts w:ascii="Arial" w:cs="Arial" w:eastAsia="Arial" w:hAnsi="Arial"/>
        </w:rPr>
        <w:t xml:space="preserve"> pour absorber les premiers litiges sans délai (et financer « Premier achat garanti »).</w:t>
      </w:r>
    </w:p>
    <w:p>
      <w:pPr>
        <w:pStyle w:val="ListParagraph"/>
        <w:numPr>
          <w:ilvl w:val="0"/>
          <w:numId w:val="3"/>
        </w:numPr>
        <w:spacing w:after="80" w:line="270"/>
      </w:pPr>
      <w:r>
        <w:rPr>
          <w:rFonts w:ascii="Arial" w:cs="Arial" w:eastAsia="Arial" w:hAnsi="Arial"/>
        </w:rPr>
        <w:t xml:space="preserve">Documenter immédiatement le processus de médiation des litiges (objectif : résolution &lt; 24 h).</w:t>
      </w:r>
    </w:p>
    <w:p>
      <w:pPr>
        <w:pStyle w:val="Heading1"/>
        <w:pageBreakBefore/>
        <w:spacing w:after="160" w:before="320"/>
      </w:pPr>
      <w:r>
        <w:rPr>
          <w:rFonts w:ascii="Arial" w:cs="Arial" w:eastAsia="Arial" w:hAnsi="Arial"/>
          <w:b/>
          <w:bCs/>
          <w:color w:val="00853E"/>
          <w:sz w:val="30"/>
          <w:szCs w:val="30"/>
        </w:rPr>
        <w:t xml:space="preserve">12. Architecture technique, dette &amp; SEO</w:t>
      </w:r>
    </w:p>
    <w:p>
      <w:pPr>
        <w:pStyle w:val="Heading2"/>
        <w:spacing w:after="120" w:before="240"/>
      </w:pPr>
      <w:r>
        <w:rPr>
          <w:rFonts w:ascii="Arial" w:cs="Arial" w:eastAsia="Arial" w:hAnsi="Arial"/>
          <w:b/>
          <w:bCs/>
          <w:color w:val="1F2937"/>
          <w:sz w:val="25"/>
          <w:szCs w:val="25"/>
        </w:rPr>
        <w:t xml:space="preserve">12.1 Réduire la dette du monolithe (RT-05, PM-04)</w:t>
      </w:r>
    </w:p>
    <w:p>
      <w:pPr>
        <w:pStyle w:val="ListParagraph"/>
        <w:numPr>
          <w:ilvl w:val="0"/>
          <w:numId w:val="3"/>
        </w:numPr>
        <w:spacing w:after="80" w:line="270"/>
      </w:pPr>
      <w:r>
        <w:rPr>
          <w:rFonts w:ascii="Arial" w:cs="Arial" w:eastAsia="Arial" w:hAnsi="Arial"/>
          <w:b/>
          <w:bCs/>
        </w:rPr>
        <w:t xml:space="preserve">Migration progressive dès Mois 3</w:t>
      </w:r>
      <w:r>
        <w:rPr>
          <w:rFonts w:ascii="Arial" w:cs="Arial" w:eastAsia="Arial" w:hAnsi="Arial"/>
        </w:rPr>
        <w:t xml:space="preserve"> : découper les composants critiques (paiement, escrow, dashboard) — pas de refactor total.</w:t>
      </w:r>
    </w:p>
    <w:p>
      <w:pPr>
        <w:pStyle w:val="ListParagraph"/>
        <w:numPr>
          <w:ilvl w:val="0"/>
          <w:numId w:val="3"/>
        </w:numPr>
        <w:spacing w:after="80" w:line="270"/>
      </w:pPr>
      <w:r>
        <w:rPr>
          <w:rFonts w:ascii="Arial" w:cs="Arial" w:eastAsia="Arial" w:hAnsi="Arial"/>
        </w:rPr>
        <w:t xml:space="preserve">Écrire des tests automatisés sur les parcours critiques (paiement, création d’annonce).</w:t>
      </w:r>
    </w:p>
    <w:p>
      <w:pPr>
        <w:pStyle w:val="ListParagraph"/>
        <w:numPr>
          <w:ilvl w:val="0"/>
          <w:numId w:val="3"/>
        </w:numPr>
        <w:spacing w:after="80" w:line="270"/>
      </w:pPr>
      <w:r>
        <w:rPr>
          <w:rFonts w:ascii="Arial" w:cs="Arial" w:eastAsia="Arial" w:hAnsi="Arial"/>
          <w:b/>
          <w:bCs/>
        </w:rPr>
        <w:t xml:space="preserve">Monitoring Supabase</w:t>
      </w:r>
      <w:r>
        <w:rPr>
          <w:rFonts w:ascii="Arial" w:cs="Arial" w:eastAsia="Arial" w:hAnsi="Arial"/>
        </w:rPr>
        <w:t xml:space="preserve"> : alerte à 70 % de quota ; pré-payer un mois de Supabase Pro avant chaque pic (Tabaski, Gamou).</w:t>
      </w:r>
    </w:p>
    <w:p>
      <w:pPr>
        <w:pStyle w:val="ListParagraph"/>
        <w:numPr>
          <w:ilvl w:val="0"/>
          <w:numId w:val="3"/>
        </w:numPr>
        <w:spacing w:after="80" w:line="270"/>
      </w:pPr>
      <w:r>
        <w:rPr>
          <w:rFonts w:ascii="Arial" w:cs="Arial" w:eastAsia="Arial" w:hAnsi="Arial"/>
        </w:rPr>
        <w:t xml:space="preserve">Cache Cloudflare pour les annonces les plus consultées ; runbook de migration exécutable en &lt; 2 h.</w:t>
      </w:r>
    </w:p>
    <w:p>
      <w:pPr>
        <w:pStyle w:val="Heading2"/>
        <w:spacing w:after="120" w:before="240"/>
      </w:pPr>
      <w:r>
        <w:rPr>
          <w:rFonts w:ascii="Arial" w:cs="Arial" w:eastAsia="Arial" w:hAnsi="Arial"/>
          <w:b/>
          <w:bCs/>
          <w:color w:val="1F2937"/>
          <w:sz w:val="25"/>
          <w:szCs w:val="25"/>
        </w:rPr>
        <w:t xml:space="preserve">12.2 IA Wolof : positionnement défensif (PM-08)</w:t>
      </w:r>
    </w:p>
    <w:p>
      <w:pPr>
        <w:pStyle w:val="ListParagraph"/>
        <w:numPr>
          <w:ilvl w:val="0"/>
          <w:numId w:val="3"/>
        </w:numPr>
        <w:spacing w:after="80" w:line="270"/>
      </w:pPr>
      <w:r>
        <w:rPr>
          <w:rFonts w:ascii="Arial" w:cs="Arial" w:eastAsia="Arial" w:hAnsi="Arial"/>
        </w:rPr>
        <w:t xml:space="preserve">Positionner l’IA vocale Wolof comme fonctionnalité « premium », pas « core ».</w:t>
      </w:r>
    </w:p>
    <w:p>
      <w:pPr>
        <w:pStyle w:val="ListParagraph"/>
        <w:numPr>
          <w:ilvl w:val="0"/>
          <w:numId w:val="3"/>
        </w:numPr>
        <w:spacing w:after="80" w:line="270"/>
      </w:pPr>
      <w:r>
        <w:rPr>
          <w:rFonts w:ascii="Arial" w:cs="Arial" w:eastAsia="Arial" w:hAnsi="Arial"/>
        </w:rPr>
        <w:t xml:space="preserve">Évaluer dès maintenant les alternatives open-source (Whisper local, Ollama) déployables sur Workers.</w:t>
      </w:r>
    </w:p>
    <w:p>
      <w:pPr>
        <w:pStyle w:val="ListParagraph"/>
        <w:numPr>
          <w:ilvl w:val="0"/>
          <w:numId w:val="3"/>
        </w:numPr>
        <w:spacing w:after="80" w:line="270"/>
      </w:pPr>
      <w:r>
        <w:rPr>
          <w:rFonts w:ascii="Arial" w:cs="Arial" w:eastAsia="Arial" w:hAnsi="Arial"/>
        </w:rPr>
        <w:t xml:space="preserve">Si les coûts API augmentent : facturer l’annonce IA ~100 FCFA/unité (test de propension à payer).</w:t>
      </w:r>
    </w:p>
    <w:p>
      <w:pPr>
        <w:pStyle w:val="Heading2"/>
        <w:spacing w:after="120" w:before="240"/>
      </w:pPr>
      <w:r>
        <w:rPr>
          <w:rFonts w:ascii="Arial" w:cs="Arial" w:eastAsia="Arial" w:hAnsi="Arial"/>
          <w:b/>
          <w:bCs/>
          <w:color w:val="1F2937"/>
          <w:sz w:val="25"/>
          <w:szCs w:val="25"/>
        </w:rPr>
        <w:t xml:space="preserve">12.3 SEO — chantier engagé</w:t>
      </w:r>
    </w:p>
    <w:p>
      <w:pPr>
        <w:spacing w:after="120" w:line="276"/>
      </w:pPr>
      <w:r>
        <w:rPr>
          <w:rFonts w:ascii="Arial" w:cs="Arial" w:eastAsia="Arial" w:hAnsi="Arial"/>
        </w:rPr>
        <w:t xml:space="preserve">Le référencement (faiblesse SWOT majeure) fait l’objet d’un chantier dédié déjà engagé sur la plateforme :</w:t>
      </w:r>
    </w:p>
    <w:p>
      <w:pPr>
        <w:pStyle w:val="ListParagraph"/>
        <w:numPr>
          <w:ilvl w:val="0"/>
          <w:numId w:val="3"/>
        </w:numPr>
        <w:spacing w:after="80" w:line="270"/>
      </w:pPr>
      <w:r>
        <w:rPr>
          <w:rFonts w:ascii="Arial" w:cs="Arial" w:eastAsia="Arial" w:hAnsi="Arial"/>
        </w:rPr>
        <w:t xml:space="preserve">Données structurées JSON-LD : Product, BreadcrumbList, AggregateRating, ItemList, Store, FAQPage.</w:t>
      </w:r>
    </w:p>
    <w:p>
      <w:pPr>
        <w:pStyle w:val="ListParagraph"/>
        <w:numPr>
          <w:ilvl w:val="0"/>
          <w:numId w:val="3"/>
        </w:numPr>
        <w:spacing w:after="80" w:line="270"/>
      </w:pPr>
      <w:r>
        <w:rPr>
          <w:rFonts w:ascii="Arial" w:cs="Arial" w:eastAsia="Arial" w:hAnsi="Arial"/>
        </w:rPr>
        <w:t xml:space="preserve">Pages d’atterrissage indexables : fiches produit/annonce, pages catégories, pages vendeurs, pages villes (SEO local).</w:t>
      </w:r>
    </w:p>
    <w:p>
      <w:pPr>
        <w:pStyle w:val="ListParagraph"/>
        <w:numPr>
          <w:ilvl w:val="0"/>
          <w:numId w:val="3"/>
        </w:numPr>
        <w:spacing w:after="80" w:line="270"/>
      </w:pPr>
      <w:r>
        <w:rPr>
          <w:rFonts w:ascii="Arial" w:cs="Arial" w:eastAsia="Arial" w:hAnsi="Arial"/>
        </w:rPr>
        <w:t xml:space="preserve">Sitemaps dynamiques + index, robots.txt, IndexNow (Bing/Yandex), flux Google Merchant (produits, avis, promotions).</w:t>
      </w:r>
    </w:p>
    <w:p>
      <w:pPr>
        <w:pStyle w:val="ListParagraph"/>
        <w:numPr>
          <w:ilvl w:val="0"/>
          <w:numId w:val="3"/>
        </w:numPr>
        <w:spacing w:after="80" w:line="270"/>
      </w:pPr>
      <w:r>
        <w:rPr>
          <w:rFonts w:ascii="Arial" w:cs="Arial" w:eastAsia="Arial" w:hAnsi="Arial"/>
        </w:rPr>
        <w:t xml:space="preserve">Hreflang FR/Wolof/EN, canonical, Open Graph — alignés sur le domaine de production.</w:t>
      </w:r>
    </w:p>
    <w:p>
      <w:pPr>
        <w:pStyle w:val="Heading1"/>
        <w:pageBreakBefore/>
        <w:spacing w:after="160" w:before="320"/>
      </w:pPr>
      <w:r>
        <w:rPr>
          <w:rFonts w:ascii="Arial" w:cs="Arial" w:eastAsia="Arial" w:hAnsi="Arial"/>
          <w:b/>
          <w:bCs/>
          <w:color w:val="00853E"/>
          <w:sz w:val="30"/>
          <w:szCs w:val="30"/>
        </w:rPr>
        <w:t xml:space="preserve">13. Projections financières — deux scénarios</w:t>
      </w:r>
    </w:p>
    <w:p>
      <w:pPr>
        <w:spacing w:after="120" w:line="276"/>
      </w:pPr>
      <w:r>
        <w:rPr>
          <w:rFonts w:ascii="Arial" w:cs="Arial" w:eastAsia="Arial" w:hAnsi="Arial"/>
        </w:rPr>
        <w:t xml:space="preserve">La Red Team (RT-06) a montré que le scénario initial est optimiste de 3-5× vs les benchmarks africains (70 % des inscrits ne vendent jamais ; médiane 1-2 ventes/mois à ~12 000 FCFA). On présente donc </w:t>
      </w:r>
      <w:r>
        <w:rPr>
          <w:rFonts w:ascii="Arial" w:cs="Arial" w:eastAsia="Arial" w:hAnsi="Arial"/>
          <w:b/>
          <w:bCs/>
        </w:rPr>
        <w:t xml:space="preserve">deux</w:t>
      </w:r>
      <w:r>
        <w:rPr>
          <w:rFonts w:ascii="Arial" w:cs="Arial" w:eastAsia="Arial" w:hAnsi="Arial"/>
        </w:rPr>
        <w:t xml:space="preserve"> scénarios. Règle : viser le réaliste, rester viable même dans le pessimiste.</w:t>
      </w:r>
    </w:p>
    <w:p>
      <w:pPr>
        <w:spacing w:after="120" w:line="276"/>
      </w:pPr>
      <w:r>
        <w:rPr>
          <w:rFonts w:ascii="Arial" w:cs="Arial" w:eastAsia="Arial" w:hAnsi="Arial"/>
          <w:b/>
          <w:bCs/>
        </w:rPr>
        <w:t xml:space="preserve">Hypothèses communes : </w:t>
      </w:r>
      <w:r>
        <w:rPr>
          <w:rFonts w:ascii="Arial" w:cs="Arial" w:eastAsia="Arial" w:hAnsi="Arial"/>
        </w:rPr>
        <w:t xml:space="preserve">croissance organique (0 FCFA pub), Cloudflare Pages (0 FCFA), Supabase free tier jusqu’à ~50 K MAU, commission moyenne 13 %, charges &lt; 15 €/mois en phase initiale.</w:t>
      </w:r>
    </w:p>
    <w:p>
      <w:pPr>
        <w:pStyle w:val="Heading2"/>
        <w:spacing w:after="120" w:before="240"/>
      </w:pPr>
      <w:r>
        <w:rPr>
          <w:rFonts w:ascii="Arial" w:cs="Arial" w:eastAsia="Arial" w:hAnsi="Arial"/>
          <w:b/>
          <w:bCs/>
          <w:color w:val="1F2937"/>
          <w:sz w:val="25"/>
          <w:szCs w:val="25"/>
        </w:rPr>
        <w:t xml:space="preserve">13.1 Scénario réaliste</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2426"/>
        <w:gridCol w:w="1320"/>
        <w:gridCol w:w="1320"/>
        <w:gridCol w:w="1320"/>
        <w:gridCol w:w="1320"/>
        <w:gridCol w:w="1320"/>
      </w:tblGrid>
      <w:tr>
        <w:trPr>
          <w:tblHeader/>
        </w:trPr>
        <w:tc>
          <w:tcPr>
            <w:tcW w:type="dxa" w:w="24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Indicateur</w:t>
            </w:r>
          </w:p>
        </w:tc>
        <w:tc>
          <w:tcPr>
            <w:tcW w:type="dxa" w:w="132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Mois 3</w:t>
            </w:r>
          </w:p>
        </w:tc>
        <w:tc>
          <w:tcPr>
            <w:tcW w:type="dxa" w:w="132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Mois 6</w:t>
            </w:r>
          </w:p>
        </w:tc>
        <w:tc>
          <w:tcPr>
            <w:tcW w:type="dxa" w:w="132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Mois 12</w:t>
            </w:r>
          </w:p>
        </w:tc>
        <w:tc>
          <w:tcPr>
            <w:tcW w:type="dxa" w:w="132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An 2</w:t>
            </w:r>
          </w:p>
        </w:tc>
        <w:tc>
          <w:tcPr>
            <w:tcW w:type="dxa" w:w="132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An 3</w:t>
            </w:r>
          </w:p>
        </w:tc>
      </w:tr>
      <w:tr>
        <w:tc>
          <w:tcPr>
            <w:tcW w:type="dxa" w:w="24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Vendeurs actifs</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50</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150</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400</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1 200</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3 000</w:t>
            </w:r>
          </w:p>
        </w:tc>
      </w:tr>
      <w:tr>
        <w:tc>
          <w:tcPr>
            <w:tcW w:type="dxa" w:w="24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Ventes/mois</w:t>
            </w:r>
          </w:p>
        </w:tc>
        <w:tc>
          <w:tcPr>
            <w:tcW w:type="dxa" w:w="132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100</w:t>
            </w:r>
          </w:p>
        </w:tc>
        <w:tc>
          <w:tcPr>
            <w:tcW w:type="dxa" w:w="132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500</w:t>
            </w:r>
          </w:p>
        </w:tc>
        <w:tc>
          <w:tcPr>
            <w:tcW w:type="dxa" w:w="132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2 000</w:t>
            </w:r>
          </w:p>
        </w:tc>
        <w:tc>
          <w:tcPr>
            <w:tcW w:type="dxa" w:w="132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8 000</w:t>
            </w:r>
          </w:p>
        </w:tc>
        <w:tc>
          <w:tcPr>
            <w:tcW w:type="dxa" w:w="132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25 000</w:t>
            </w:r>
          </w:p>
        </w:tc>
      </w:tr>
      <w:tr>
        <w:tc>
          <w:tcPr>
            <w:tcW w:type="dxa" w:w="24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GMV mensuel (FCFA)</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 M</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10 M</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40 M</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160 M</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500 M</w:t>
            </w:r>
          </w:p>
        </w:tc>
      </w:tr>
      <w:tr>
        <w:tc>
          <w:tcPr>
            <w:tcW w:type="dxa" w:w="24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Commission 13 %</w:t>
            </w:r>
          </w:p>
        </w:tc>
        <w:tc>
          <w:tcPr>
            <w:tcW w:type="dxa" w:w="132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260 K</w:t>
            </w:r>
          </w:p>
        </w:tc>
        <w:tc>
          <w:tcPr>
            <w:tcW w:type="dxa" w:w="132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1,3 M</w:t>
            </w:r>
          </w:p>
        </w:tc>
        <w:tc>
          <w:tcPr>
            <w:tcW w:type="dxa" w:w="132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5,2 M</w:t>
            </w:r>
          </w:p>
        </w:tc>
        <w:tc>
          <w:tcPr>
            <w:tcW w:type="dxa" w:w="132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20,8 M</w:t>
            </w:r>
          </w:p>
        </w:tc>
        <w:tc>
          <w:tcPr>
            <w:tcW w:type="dxa" w:w="132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65 M</w:t>
            </w:r>
          </w:p>
        </w:tc>
      </w:tr>
      <w:tr>
        <w:tc>
          <w:tcPr>
            <w:tcW w:type="dxa" w:w="24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Boost/Abonnements</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0</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150 K</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600 K</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 M</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10 M</w:t>
            </w:r>
          </w:p>
        </w:tc>
      </w:tr>
      <w:tr>
        <w:tc>
          <w:tcPr>
            <w:tcW w:type="dxa" w:w="24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AdSense / Pub</w:t>
            </w:r>
          </w:p>
        </w:tc>
        <w:tc>
          <w:tcPr>
            <w:tcW w:type="dxa" w:w="132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0</w:t>
            </w:r>
          </w:p>
        </w:tc>
        <w:tc>
          <w:tcPr>
            <w:tcW w:type="dxa" w:w="132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50 K</w:t>
            </w:r>
          </w:p>
        </w:tc>
        <w:tc>
          <w:tcPr>
            <w:tcW w:type="dxa" w:w="132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200 K</w:t>
            </w:r>
          </w:p>
        </w:tc>
        <w:tc>
          <w:tcPr>
            <w:tcW w:type="dxa" w:w="132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 M</w:t>
            </w:r>
          </w:p>
        </w:tc>
        <w:tc>
          <w:tcPr>
            <w:tcW w:type="dxa" w:w="132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5 M</w:t>
            </w:r>
          </w:p>
        </w:tc>
      </w:tr>
      <w:tr>
        <w:tc>
          <w:tcPr>
            <w:tcW w:type="dxa" w:w="24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Partenariats B2B</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0</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0</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200 K</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 M</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8 M</w:t>
            </w:r>
          </w:p>
        </w:tc>
      </w:tr>
      <w:tr>
        <w:tc>
          <w:tcPr>
            <w:tcW w:type="dxa" w:w="24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Mécanismes passifs</w:t>
            </w:r>
          </w:p>
        </w:tc>
        <w:tc>
          <w:tcPr>
            <w:tcW w:type="dxa" w:w="132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0</w:t>
            </w:r>
          </w:p>
        </w:tc>
        <w:tc>
          <w:tcPr>
            <w:tcW w:type="dxa" w:w="132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161 K</w:t>
            </w:r>
          </w:p>
        </w:tc>
        <w:tc>
          <w:tcPr>
            <w:tcW w:type="dxa" w:w="132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905 K</w:t>
            </w:r>
          </w:p>
        </w:tc>
        <w:tc>
          <w:tcPr>
            <w:tcW w:type="dxa" w:w="132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3,7 M</w:t>
            </w:r>
          </w:p>
        </w:tc>
        <w:tc>
          <w:tcPr>
            <w:tcW w:type="dxa" w:w="132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13 M</w:t>
            </w:r>
          </w:p>
        </w:tc>
      </w:tr>
      <w:tr>
        <w:tc>
          <w:tcPr>
            <w:tcW w:type="dxa" w:w="2426"/>
            <w:shd w:fill="FFFFFF" w:val="clear"/>
            <w:tcMar>
              <w:top w:type="dxa" w:w="60"/>
              <w:left w:type="dxa" w:w="110"/>
              <w:bottom w:type="dxa" w:w="60"/>
              <w:right w:type="dxa" w:w="110"/>
            </w:tcMar>
            <w:vAlign w:val="center"/>
          </w:tcPr>
          <w:p>
            <w:pPr>
              <w:spacing w:line="252"/>
            </w:pPr>
            <w:r>
              <w:rPr>
                <w:rFonts w:ascii="Arial" w:cs="Arial" w:eastAsia="Arial" w:hAnsi="Arial"/>
                <w:b/>
                <w:bCs/>
              </w:rPr>
              <w:t xml:space="preserve">REVENUS TOTAUX</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b/>
                <w:bCs/>
              </w:rPr>
              <w:t xml:space="preserve">260 K</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b/>
                <w:bCs/>
              </w:rPr>
              <w:t xml:space="preserve">1,66 M</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b/>
                <w:bCs/>
              </w:rPr>
              <w:t xml:space="preserve">7,1 M</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b/>
                <w:bCs/>
              </w:rPr>
              <w:t xml:space="preserve">30,5 M</w:t>
            </w:r>
          </w:p>
        </w:tc>
        <w:tc>
          <w:tcPr>
            <w:tcW w:type="dxa" w:w="1320"/>
            <w:shd w:fill="FFFFFF" w:val="clear"/>
            <w:tcMar>
              <w:top w:type="dxa" w:w="60"/>
              <w:left w:type="dxa" w:w="110"/>
              <w:bottom w:type="dxa" w:w="60"/>
              <w:right w:type="dxa" w:w="110"/>
            </w:tcMar>
            <w:vAlign w:val="center"/>
          </w:tcPr>
          <w:p>
            <w:pPr>
              <w:spacing w:line="252"/>
            </w:pPr>
            <w:r>
              <w:rPr>
                <w:rFonts w:ascii="Arial" w:cs="Arial" w:eastAsia="Arial" w:hAnsi="Arial"/>
                <w:b/>
                <w:bCs/>
              </w:rPr>
              <w:t xml:space="preserve">101 M</w:t>
            </w:r>
          </w:p>
        </w:tc>
      </w:tr>
    </w:tbl>
    <w:p>
      <w:pPr>
        <w:spacing w:after="120"/>
      </w:pPr>
      <w:r>
        <w:rPr>
          <w:rFonts w:ascii="Arial" w:cs="Arial" w:eastAsia="Arial" w:hAnsi="Arial"/>
          <w:i/>
          <w:iCs/>
          <w:color w:val="6B7280"/>
          <w:sz w:val="19"/>
          <w:szCs w:val="19"/>
        </w:rPr>
        <w:t xml:space="preserve">À 12 mois (400 vendeurs actifs) : ~7 M FCFA/mois de revenus — un salaire de cadre sénégalais pour le fondateur + réinvestissement. Les 5 mécanismes passifs ajoutent +14 à +15 % sur 3 ans.</w:t>
      </w:r>
    </w:p>
    <w:p>
      <w:pPr>
        <w:pStyle w:val="Heading2"/>
        <w:spacing w:after="120" w:before="240"/>
      </w:pPr>
      <w:r>
        <w:rPr>
          <w:rFonts w:ascii="Arial" w:cs="Arial" w:eastAsia="Arial" w:hAnsi="Arial"/>
          <w:b/>
          <w:bCs/>
          <w:color w:val="1F2937"/>
          <w:sz w:val="25"/>
          <w:szCs w:val="25"/>
        </w:rPr>
        <w:t xml:space="preserve">13.2 Scénario pessimiste (stress-test Red Team)</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3626"/>
        <w:gridCol w:w="1800"/>
        <w:gridCol w:w="1800"/>
        <w:gridCol w:w="1800"/>
      </w:tblGrid>
      <w:tr>
        <w:trPr>
          <w:tblHeader/>
        </w:trPr>
        <w:tc>
          <w:tcPr>
            <w:tcW w:type="dxa" w:w="36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Indicateur</w:t>
            </w:r>
          </w:p>
        </w:tc>
        <w:tc>
          <w:tcPr>
            <w:tcW w:type="dxa" w:w="18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Mois 6</w:t>
            </w:r>
          </w:p>
        </w:tc>
        <w:tc>
          <w:tcPr>
            <w:tcW w:type="dxa" w:w="18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Mois 12</w:t>
            </w:r>
          </w:p>
        </w:tc>
        <w:tc>
          <w:tcPr>
            <w:tcW w:type="dxa" w:w="18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An 2</w:t>
            </w:r>
          </w:p>
        </w:tc>
      </w:tr>
      <w:tr>
        <w:tc>
          <w:tcPr>
            <w:tcW w:type="dxa" w:w="36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Vendeurs actifs</w:t>
            </w:r>
          </w:p>
        </w:tc>
        <w:tc>
          <w:tcPr>
            <w:tcW w:type="dxa" w:w="18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40</w:t>
            </w:r>
          </w:p>
        </w:tc>
        <w:tc>
          <w:tcPr>
            <w:tcW w:type="dxa" w:w="18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100</w:t>
            </w:r>
          </w:p>
        </w:tc>
        <w:tc>
          <w:tcPr>
            <w:tcW w:type="dxa" w:w="18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350</w:t>
            </w:r>
          </w:p>
        </w:tc>
      </w:tr>
      <w:tr>
        <w:tc>
          <w:tcPr>
            <w:tcW w:type="dxa" w:w="36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Ventes/mois (médiane 2/vendeur)</w:t>
            </w:r>
          </w:p>
        </w:tc>
        <w:tc>
          <w:tcPr>
            <w:tcW w:type="dxa" w:w="18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80</w:t>
            </w:r>
          </w:p>
        </w:tc>
        <w:tc>
          <w:tcPr>
            <w:tcW w:type="dxa" w:w="18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200</w:t>
            </w:r>
          </w:p>
        </w:tc>
        <w:tc>
          <w:tcPr>
            <w:tcW w:type="dxa" w:w="18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900</w:t>
            </w:r>
          </w:p>
        </w:tc>
      </w:tr>
      <w:tr>
        <w:tc>
          <w:tcPr>
            <w:tcW w:type="dxa" w:w="36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Panier moyen</w:t>
            </w:r>
          </w:p>
        </w:tc>
        <w:tc>
          <w:tcPr>
            <w:tcW w:type="dxa" w:w="18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12 000</w:t>
            </w:r>
          </w:p>
        </w:tc>
        <w:tc>
          <w:tcPr>
            <w:tcW w:type="dxa" w:w="18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12 000</w:t>
            </w:r>
          </w:p>
        </w:tc>
        <w:tc>
          <w:tcPr>
            <w:tcW w:type="dxa" w:w="18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13 000</w:t>
            </w:r>
          </w:p>
        </w:tc>
      </w:tr>
      <w:tr>
        <w:tc>
          <w:tcPr>
            <w:tcW w:type="dxa" w:w="36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GMV mensuel (FCFA)</w:t>
            </w:r>
          </w:p>
        </w:tc>
        <w:tc>
          <w:tcPr>
            <w:tcW w:type="dxa" w:w="18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 M</w:t>
            </w:r>
          </w:p>
        </w:tc>
        <w:tc>
          <w:tcPr>
            <w:tcW w:type="dxa" w:w="18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2,4 M</w:t>
            </w:r>
          </w:p>
        </w:tc>
        <w:tc>
          <w:tcPr>
            <w:tcW w:type="dxa" w:w="18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11,7 M</w:t>
            </w:r>
          </w:p>
        </w:tc>
      </w:tr>
      <w:tr>
        <w:tc>
          <w:tcPr>
            <w:tcW w:type="dxa" w:w="36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Commission ~13 %</w:t>
            </w:r>
          </w:p>
        </w:tc>
        <w:tc>
          <w:tcPr>
            <w:tcW w:type="dxa" w:w="18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~125 K</w:t>
            </w:r>
          </w:p>
        </w:tc>
        <w:tc>
          <w:tcPr>
            <w:tcW w:type="dxa" w:w="18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312 K</w:t>
            </w:r>
          </w:p>
        </w:tc>
        <w:tc>
          <w:tcPr>
            <w:tcW w:type="dxa" w:w="18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1,5 M</w:t>
            </w:r>
          </w:p>
        </w:tc>
      </w:tr>
      <w:tr>
        <w:tc>
          <w:tcPr>
            <w:tcW w:type="dxa" w:w="36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 Mécanismes passifs</w:t>
            </w:r>
          </w:p>
        </w:tc>
        <w:tc>
          <w:tcPr>
            <w:tcW w:type="dxa" w:w="18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~50 K</w:t>
            </w:r>
          </w:p>
        </w:tc>
        <w:tc>
          <w:tcPr>
            <w:tcW w:type="dxa" w:w="18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~250 K</w:t>
            </w:r>
          </w:p>
        </w:tc>
        <w:tc>
          <w:tcPr>
            <w:tcW w:type="dxa" w:w="18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 M</w:t>
            </w:r>
          </w:p>
        </w:tc>
      </w:tr>
      <w:tr>
        <w:tc>
          <w:tcPr>
            <w:tcW w:type="dxa" w:w="3626"/>
            <w:shd w:fill="FFFFFF" w:val="clear"/>
            <w:tcMar>
              <w:top w:type="dxa" w:w="60"/>
              <w:left w:type="dxa" w:w="110"/>
              <w:bottom w:type="dxa" w:w="60"/>
              <w:right w:type="dxa" w:w="110"/>
            </w:tcMar>
            <w:vAlign w:val="center"/>
          </w:tcPr>
          <w:p>
            <w:pPr>
              <w:spacing w:line="252"/>
            </w:pPr>
            <w:r>
              <w:rPr>
                <w:rFonts w:ascii="Arial" w:cs="Arial" w:eastAsia="Arial" w:hAnsi="Arial"/>
                <w:b/>
                <w:bCs/>
              </w:rPr>
              <w:t xml:space="preserve">REVENUS TOTAUX</w:t>
            </w:r>
          </w:p>
        </w:tc>
        <w:tc>
          <w:tcPr>
            <w:tcW w:type="dxa" w:w="1800"/>
            <w:shd w:fill="FFFFFF" w:val="clear"/>
            <w:tcMar>
              <w:top w:type="dxa" w:w="60"/>
              <w:left w:type="dxa" w:w="110"/>
              <w:bottom w:type="dxa" w:w="60"/>
              <w:right w:type="dxa" w:w="110"/>
            </w:tcMar>
            <w:vAlign w:val="center"/>
          </w:tcPr>
          <w:p>
            <w:pPr>
              <w:spacing w:line="252"/>
            </w:pPr>
            <w:r>
              <w:rPr>
                <w:rFonts w:ascii="Arial" w:cs="Arial" w:eastAsia="Arial" w:hAnsi="Arial"/>
                <w:b/>
                <w:bCs/>
              </w:rPr>
              <w:t xml:space="preserve">~175 K</w:t>
            </w:r>
          </w:p>
        </w:tc>
        <w:tc>
          <w:tcPr>
            <w:tcW w:type="dxa" w:w="1800"/>
            <w:shd w:fill="FFFFFF" w:val="clear"/>
            <w:tcMar>
              <w:top w:type="dxa" w:w="60"/>
              <w:left w:type="dxa" w:w="110"/>
              <w:bottom w:type="dxa" w:w="60"/>
              <w:right w:type="dxa" w:w="110"/>
            </w:tcMar>
            <w:vAlign w:val="center"/>
          </w:tcPr>
          <w:p>
            <w:pPr>
              <w:spacing w:line="252"/>
            </w:pPr>
            <w:r>
              <w:rPr>
                <w:rFonts w:ascii="Arial" w:cs="Arial" w:eastAsia="Arial" w:hAnsi="Arial"/>
                <w:b/>
                <w:bCs/>
              </w:rPr>
              <w:t xml:space="preserve">~560 K</w:t>
            </w:r>
          </w:p>
        </w:tc>
        <w:tc>
          <w:tcPr>
            <w:tcW w:type="dxa" w:w="1800"/>
            <w:shd w:fill="FFFFFF" w:val="clear"/>
            <w:tcMar>
              <w:top w:type="dxa" w:w="60"/>
              <w:left w:type="dxa" w:w="110"/>
              <w:bottom w:type="dxa" w:w="60"/>
              <w:right w:type="dxa" w:w="110"/>
            </w:tcMar>
            <w:vAlign w:val="center"/>
          </w:tcPr>
          <w:p>
            <w:pPr>
              <w:spacing w:line="252"/>
            </w:pPr>
            <w:r>
              <w:rPr>
                <w:rFonts w:ascii="Arial" w:cs="Arial" w:eastAsia="Arial" w:hAnsi="Arial"/>
                <w:b/>
                <w:bCs/>
              </w:rPr>
              <w:t xml:space="preserve">~2,5 M</w:t>
            </w:r>
          </w:p>
        </w:tc>
      </w:tr>
    </w:tbl>
    <w:tbl>
      <w:tblPr>
        <w:tblW w:type="dxa" w:w="9026"/>
        <w:tblBorders>
          <w:top w:val="single" w:color="E3F2EA" w:sz="1"/>
          <w:left w:val="single" w:color="00853E" w:sz="18"/>
          <w:bottom w:val="single" w:color="E3F2EA" w:sz="1"/>
          <w:right w:val="single" w:color="E3F2EA" w:sz="1"/>
          <w:insideH w:val="single" w:color="auto" w:sz="4"/>
          <w:insideV w:val="single" w:color="auto" w:sz="4"/>
        </w:tblBorders>
      </w:tblPr>
      <w:tblGrid>
        <w:gridCol w:w="9026"/>
      </w:tblGrid>
      <w:tr>
        <w:tc>
          <w:tcPr>
            <w:shd w:fill="E3F2EA" w:val="clear"/>
            <w:tcMar>
              <w:top w:type="dxa" w:w="120"/>
              <w:left w:type="dxa" w:w="200"/>
              <w:bottom w:type="dxa" w:w="120"/>
              <w:right w:type="dxa" w:w="160"/>
            </w:tcMar>
          </w:tcPr>
          <w:p>
            <w:pPr>
              <w:spacing w:after="80"/>
            </w:pPr>
            <w:r>
              <w:rPr>
                <w:rFonts w:ascii="Arial" w:cs="Arial" w:eastAsia="Arial" w:hAnsi="Arial"/>
                <w:b/>
                <w:bCs/>
                <w:color w:val="00853E"/>
                <w:sz w:val="22"/>
                <w:szCs w:val="22"/>
              </w:rPr>
              <w:t xml:space="preserve">Lecture du stress-test</w:t>
            </w:r>
          </w:p>
          <w:p>
            <w:pPr>
              <w:spacing w:after="60" w:line="264"/>
            </w:pPr>
            <w:r>
              <w:rPr>
                <w:rFonts w:ascii="Arial" w:cs="Arial" w:eastAsia="Arial" w:hAnsi="Arial"/>
                <w:sz w:val="21"/>
                <w:szCs w:val="21"/>
              </w:rPr>
              <w:t xml:space="preserve">Même dans le scénario pessimiste, les charges restant &lt; 15 €/mois (Cloudflare gratuit, Supabase free/low tier), NEXUS ne brûle pas de cash. La viabilité tient — à condition de garder une structure de coûts quasi nulle et un revenu fondateur alternatif les 6 premiers mois (cf. §3.3).</w:t>
            </w:r>
          </w:p>
        </w:tc>
      </w:tr>
    </w:tbl>
    <w:p>
      <w:pPr>
        <w:pStyle w:val="Heading1"/>
        <w:pageBreakBefore/>
        <w:spacing w:after="160" w:before="320"/>
      </w:pPr>
      <w:r>
        <w:rPr>
          <w:rFonts w:ascii="Arial" w:cs="Arial" w:eastAsia="Arial" w:hAnsi="Arial"/>
          <w:b/>
          <w:bCs/>
          <w:color w:val="00853E"/>
          <w:sz w:val="30"/>
          <w:szCs w:val="30"/>
        </w:rPr>
        <w:t xml:space="preserve">14. Gestion des risques — registre consolidé</w:t>
      </w:r>
    </w:p>
    <w:p>
      <w:pPr>
        <w:spacing w:after="120" w:line="276"/>
      </w:pPr>
      <w:r>
        <w:rPr>
          <w:rFonts w:ascii="Arial" w:cs="Arial" w:eastAsia="Arial" w:hAnsi="Arial"/>
        </w:rPr>
        <w:t xml:space="preserve">Synthèse Red Team (RT) et Pré-Mortem (PM) : probabilité × impact, avec mesure préventive et délai d’action.</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2700"/>
        <w:gridCol w:w="950"/>
        <w:gridCol w:w="980"/>
        <w:gridCol w:w="3196"/>
        <w:gridCol w:w="1200"/>
      </w:tblGrid>
      <w:tr>
        <w:trPr>
          <w:tblHeader/>
        </w:trPr>
        <w:tc>
          <w:tcPr>
            <w:tcW w:type="dxa" w:w="27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Risque</w:t>
            </w:r>
          </w:p>
        </w:tc>
        <w:tc>
          <w:tcPr>
            <w:tcW w:type="dxa" w:w="95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Prob.</w:t>
            </w:r>
          </w:p>
        </w:tc>
        <w:tc>
          <w:tcPr>
            <w:tcW w:type="dxa" w:w="98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Impact</w:t>
            </w:r>
          </w:p>
        </w:tc>
        <w:tc>
          <w:tcPr>
            <w:tcW w:type="dxa" w:w="319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Mesure préventive</w:t>
            </w:r>
          </w:p>
        </w:tc>
        <w:tc>
          <w:tcPr>
            <w:tcW w:type="dxa" w:w="12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Délai</w:t>
            </w:r>
          </w:p>
        </w:tc>
      </w:tr>
      <w:tr>
        <w:tc>
          <w:tcPr>
            <w:tcW w:type="dxa" w:w="2700"/>
            <w:shd w:fill="FFFFFF" w:val="clear"/>
            <w:tcMar>
              <w:top w:type="dxa" w:w="60"/>
              <w:left w:type="dxa" w:w="110"/>
              <w:bottom w:type="dxa" w:w="60"/>
              <w:right w:type="dxa" w:w="110"/>
            </w:tcMar>
            <w:vAlign w:val="center"/>
          </w:tcPr>
          <w:p>
            <w:pPr>
              <w:spacing w:line="252"/>
            </w:pPr>
            <w:r>
              <w:rPr>
                <w:rFonts w:ascii="Arial" w:cs="Arial" w:eastAsia="Arial" w:hAnsi="Arial"/>
                <w:b/>
                <w:bCs/>
              </w:rPr>
              <w:t xml:space="preserve">PM-01 Commission évitée (→ WhatsApp)</w:t>
            </w:r>
          </w:p>
        </w:tc>
        <w:tc>
          <w:tcPr>
            <w:tcW w:type="dxa" w:w="9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Élevée</w:t>
            </w:r>
          </w:p>
        </w:tc>
        <w:tc>
          <w:tcPr>
            <w:tcW w:type="dxa" w:w="980"/>
            <w:shd w:fill="FFFFFF" w:val="clear"/>
            <w:tcMar>
              <w:top w:type="dxa" w:w="60"/>
              <w:left w:type="dxa" w:w="110"/>
              <w:bottom w:type="dxa" w:w="60"/>
              <w:right w:type="dxa" w:w="110"/>
            </w:tcMar>
            <w:vAlign w:val="center"/>
          </w:tcPr>
          <w:p>
            <w:pPr>
              <w:spacing w:line="252"/>
            </w:pPr>
            <w:r>
              <w:rPr>
                <w:rFonts w:ascii="Arial" w:cs="Arial" w:eastAsia="Arial" w:hAnsi="Arial"/>
                <w:b/>
                <w:bCs/>
                <w:color w:val="C0392B"/>
              </w:rPr>
              <w:t xml:space="preserve">Fatal</w:t>
            </w:r>
          </w:p>
        </w:tc>
        <w:tc>
          <w:tcPr>
            <w:tcW w:type="dxa" w:w="319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Barème 0 %→progressif, n° masqué, escrow irremplaçable</w:t>
            </w:r>
          </w:p>
        </w:tc>
        <w:tc>
          <w:tcPr>
            <w:tcW w:type="dxa" w:w="12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Immédiat</w:t>
            </w:r>
          </w:p>
        </w:tc>
      </w:tr>
      <w:tr>
        <w:tc>
          <w:tcPr>
            <w:tcW w:type="dxa" w:w="2700"/>
            <w:shd w:fill="F3F6F4" w:val="clear"/>
            <w:tcMar>
              <w:top w:type="dxa" w:w="60"/>
              <w:left w:type="dxa" w:w="110"/>
              <w:bottom w:type="dxa" w:w="60"/>
              <w:right w:type="dxa" w:w="110"/>
            </w:tcMar>
            <w:vAlign w:val="center"/>
          </w:tcPr>
          <w:p>
            <w:pPr>
              <w:spacing w:line="252"/>
            </w:pPr>
            <w:r>
              <w:rPr>
                <w:rFonts w:ascii="Arial" w:cs="Arial" w:eastAsia="Arial" w:hAnsi="Arial"/>
                <w:b/>
                <w:bCs/>
              </w:rPr>
              <w:t xml:space="preserve">PM-02 Burnout fondateur</w:t>
            </w:r>
          </w:p>
        </w:tc>
        <w:tc>
          <w:tcPr>
            <w:tcW w:type="dxa" w:w="95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Élevée</w:t>
            </w:r>
          </w:p>
        </w:tc>
        <w:tc>
          <w:tcPr>
            <w:tcW w:type="dxa" w:w="980"/>
            <w:shd w:fill="F3F6F4" w:val="clear"/>
            <w:tcMar>
              <w:top w:type="dxa" w:w="60"/>
              <w:left w:type="dxa" w:w="110"/>
              <w:bottom w:type="dxa" w:w="60"/>
              <w:right w:type="dxa" w:w="110"/>
            </w:tcMar>
            <w:vAlign w:val="center"/>
          </w:tcPr>
          <w:p>
            <w:pPr>
              <w:spacing w:line="252"/>
            </w:pPr>
            <w:r>
              <w:rPr>
                <w:rFonts w:ascii="Arial" w:cs="Arial" w:eastAsia="Arial" w:hAnsi="Arial"/>
                <w:b/>
                <w:bCs/>
                <w:color w:val="C0392B"/>
              </w:rPr>
              <w:t xml:space="preserve">Fatal</w:t>
            </w:r>
          </w:p>
        </w:tc>
        <w:tc>
          <w:tcPr>
            <w:tcW w:type="dxa" w:w="319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Recruter appui Mois 2, automatiser support, 6 h/j max</w:t>
            </w:r>
          </w:p>
        </w:tc>
        <w:tc>
          <w:tcPr>
            <w:tcW w:type="dxa" w:w="12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Immédiat</w:t>
            </w:r>
          </w:p>
        </w:tc>
      </w:tr>
      <w:tr>
        <w:tc>
          <w:tcPr>
            <w:tcW w:type="dxa" w:w="27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PM-03 Grande arnaque / réputation</w:t>
            </w:r>
          </w:p>
        </w:tc>
        <w:tc>
          <w:tcPr>
            <w:tcW w:type="dxa" w:w="9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Moyenne</w:t>
            </w:r>
          </w:p>
        </w:tc>
        <w:tc>
          <w:tcPr>
            <w:tcW w:type="dxa" w:w="980"/>
            <w:shd w:fill="FFFFFF" w:val="clear"/>
            <w:tcMar>
              <w:top w:type="dxa" w:w="60"/>
              <w:left w:type="dxa" w:w="110"/>
              <w:bottom w:type="dxa" w:w="60"/>
              <w:right w:type="dxa" w:w="110"/>
            </w:tcMar>
            <w:vAlign w:val="center"/>
          </w:tcPr>
          <w:p>
            <w:pPr>
              <w:spacing w:line="252"/>
            </w:pPr>
            <w:r>
              <w:rPr>
                <w:rFonts w:ascii="Arial" w:cs="Arial" w:eastAsia="Arial" w:hAnsi="Arial"/>
                <w:b/>
                <w:bCs/>
                <w:color w:val="C0392B"/>
              </w:rPr>
              <w:t xml:space="preserve">Fatal</w:t>
            </w:r>
          </w:p>
        </w:tc>
        <w:tc>
          <w:tcPr>
            <w:tcW w:type="dxa" w:w="319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Escrow ≤ 50 K, validation manuelle, photo livraison, réserve 200 K</w:t>
            </w:r>
          </w:p>
        </w:tc>
        <w:tc>
          <w:tcPr>
            <w:tcW w:type="dxa" w:w="12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Mois 1-3</w:t>
            </w:r>
          </w:p>
        </w:tc>
      </w:tr>
      <w:tr>
        <w:tc>
          <w:tcPr>
            <w:tcW w:type="dxa" w:w="27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PM-04 Panne Supabase (pic Tabaski)</w:t>
            </w:r>
          </w:p>
        </w:tc>
        <w:tc>
          <w:tcPr>
            <w:tcW w:type="dxa" w:w="95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Moyenne</w:t>
            </w:r>
          </w:p>
        </w:tc>
        <w:tc>
          <w:tcPr>
            <w:tcW w:type="dxa" w:w="980"/>
            <w:shd w:fill="F3F6F4" w:val="clear"/>
            <w:tcMar>
              <w:top w:type="dxa" w:w="60"/>
              <w:left w:type="dxa" w:w="110"/>
              <w:bottom w:type="dxa" w:w="60"/>
              <w:right w:type="dxa" w:w="110"/>
            </w:tcMar>
            <w:vAlign w:val="center"/>
          </w:tcPr>
          <w:p>
            <w:pPr>
              <w:spacing w:line="252"/>
            </w:pPr>
            <w:r>
              <w:rPr>
                <w:rFonts w:ascii="Arial" w:cs="Arial" w:eastAsia="Arial" w:hAnsi="Arial"/>
                <w:b/>
                <w:bCs/>
                <w:color w:val="B7791F"/>
              </w:rPr>
              <w:t xml:space="preserve">Critique</w:t>
            </w:r>
          </w:p>
        </w:tc>
        <w:tc>
          <w:tcPr>
            <w:tcW w:type="dxa" w:w="319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Monitoring 70 %, Supabase Pro avant fêtes, cache CDN</w:t>
            </w:r>
          </w:p>
        </w:tc>
        <w:tc>
          <w:tcPr>
            <w:tcW w:type="dxa" w:w="12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Mois 1</w:t>
            </w:r>
          </w:p>
        </w:tc>
      </w:tr>
      <w:tr>
        <w:tc>
          <w:tcPr>
            <w:tcW w:type="dxa" w:w="27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PM-05 « Jiji Protect » (10 M budget)</w:t>
            </w:r>
          </w:p>
        </w:tc>
        <w:tc>
          <w:tcPr>
            <w:tcW w:type="dxa" w:w="9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Moyenne</w:t>
            </w:r>
          </w:p>
        </w:tc>
        <w:tc>
          <w:tcPr>
            <w:tcW w:type="dxa" w:w="980"/>
            <w:shd w:fill="FFFFFF" w:val="clear"/>
            <w:tcMar>
              <w:top w:type="dxa" w:w="60"/>
              <w:left w:type="dxa" w:w="110"/>
              <w:bottom w:type="dxa" w:w="60"/>
              <w:right w:type="dxa" w:w="110"/>
            </w:tcMar>
            <w:vAlign w:val="center"/>
          </w:tcPr>
          <w:p>
            <w:pPr>
              <w:spacing w:line="252"/>
            </w:pPr>
            <w:r>
              <w:rPr>
                <w:rFonts w:ascii="Arial" w:cs="Arial" w:eastAsia="Arial" w:hAnsi="Arial"/>
                <w:b/>
                <w:bCs/>
                <w:color w:val="B7791F"/>
              </w:rPr>
              <w:t xml:space="preserve">Critique</w:t>
            </w:r>
          </w:p>
        </w:tc>
        <w:tc>
          <w:tcPr>
            <w:tcW w:type="dxa" w:w="319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Communauté d’abord, marque OAPI, switching costs</w:t>
            </w:r>
          </w:p>
        </w:tc>
        <w:tc>
          <w:tcPr>
            <w:tcW w:type="dxa" w:w="12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Mois 1+</w:t>
            </w:r>
          </w:p>
        </w:tc>
      </w:tr>
      <w:tr>
        <w:tc>
          <w:tcPr>
            <w:tcW w:type="dxa" w:w="27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PM-06 Blocage BCEAO escrow</w:t>
            </w:r>
          </w:p>
        </w:tc>
        <w:tc>
          <w:tcPr>
            <w:tcW w:type="dxa" w:w="95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Faible</w:t>
            </w:r>
          </w:p>
        </w:tc>
        <w:tc>
          <w:tcPr>
            <w:tcW w:type="dxa" w:w="980"/>
            <w:shd w:fill="F3F6F4" w:val="clear"/>
            <w:tcMar>
              <w:top w:type="dxa" w:w="60"/>
              <w:left w:type="dxa" w:w="110"/>
              <w:bottom w:type="dxa" w:w="60"/>
              <w:right w:type="dxa" w:w="110"/>
            </w:tcMar>
            <w:vAlign w:val="center"/>
          </w:tcPr>
          <w:p>
            <w:pPr>
              <w:spacing w:line="252"/>
            </w:pPr>
            <w:r>
              <w:rPr>
                <w:rFonts w:ascii="Arial" w:cs="Arial" w:eastAsia="Arial" w:hAnsi="Arial"/>
                <w:b/>
                <w:bCs/>
                <w:color w:val="B7791F"/>
              </w:rPr>
              <w:t xml:space="preserve">Critique</w:t>
            </w:r>
          </w:p>
        </w:tc>
        <w:tc>
          <w:tcPr>
            <w:tcW w:type="dxa" w:w="319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Juriste, banque agréée, modèle assuranciel de secours</w:t>
            </w:r>
          </w:p>
        </w:tc>
        <w:tc>
          <w:tcPr>
            <w:tcW w:type="dxa" w:w="12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Mois 2</w:t>
            </w:r>
          </w:p>
        </w:tc>
      </w:tr>
      <w:tr>
        <w:tc>
          <w:tcPr>
            <w:tcW w:type="dxa" w:w="27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PM-07 Ambassadeurs → concurrents</w:t>
            </w:r>
          </w:p>
        </w:tc>
        <w:tc>
          <w:tcPr>
            <w:tcW w:type="dxa" w:w="9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Faible</w:t>
            </w:r>
          </w:p>
        </w:tc>
        <w:tc>
          <w:tcPr>
            <w:tcW w:type="dxa" w:w="980"/>
            <w:shd w:fill="FFFFFF" w:val="clear"/>
            <w:tcMar>
              <w:top w:type="dxa" w:w="60"/>
              <w:left w:type="dxa" w:w="110"/>
              <w:bottom w:type="dxa" w:w="60"/>
              <w:right w:type="dxa" w:w="110"/>
            </w:tcMar>
            <w:vAlign w:val="center"/>
          </w:tcPr>
          <w:p>
            <w:pPr>
              <w:spacing w:line="252"/>
            </w:pPr>
            <w:r>
              <w:rPr>
                <w:rFonts w:ascii="Arial" w:cs="Arial" w:eastAsia="Arial" w:hAnsi="Arial"/>
                <w:b/>
                <w:bCs/>
                <w:color w:val="B7791F"/>
              </w:rPr>
              <w:t xml:space="preserve">Élevé</w:t>
            </w:r>
          </w:p>
        </w:tc>
        <w:tc>
          <w:tcPr>
            <w:tcW w:type="dxa" w:w="319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Plafond 20 % GMV, contrats non-concurrence, relation directe</w:t>
            </w:r>
          </w:p>
        </w:tc>
        <w:tc>
          <w:tcPr>
            <w:tcW w:type="dxa" w:w="12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An 1</w:t>
            </w:r>
          </w:p>
        </w:tc>
      </w:tr>
      <w:tr>
        <w:tc>
          <w:tcPr>
            <w:tcW w:type="dxa" w:w="27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PM-08 IA Groq payante/limitée</w:t>
            </w:r>
          </w:p>
        </w:tc>
        <w:tc>
          <w:tcPr>
            <w:tcW w:type="dxa" w:w="95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Faible</w:t>
            </w:r>
          </w:p>
        </w:tc>
        <w:tc>
          <w:tcPr>
            <w:tcW w:type="dxa" w:w="980"/>
            <w:shd w:fill="F3F6F4" w:val="clear"/>
            <w:tcMar>
              <w:top w:type="dxa" w:w="60"/>
              <w:left w:type="dxa" w:w="110"/>
              <w:bottom w:type="dxa" w:w="60"/>
              <w:right w:type="dxa" w:w="110"/>
            </w:tcMar>
            <w:vAlign w:val="center"/>
          </w:tcPr>
          <w:p>
            <w:pPr>
              <w:spacing w:line="252"/>
            </w:pPr>
            <w:r>
              <w:rPr>
                <w:rFonts w:ascii="Arial" w:cs="Arial" w:eastAsia="Arial" w:hAnsi="Arial"/>
                <w:b/>
                <w:bCs/>
                <w:color w:val="6B7280"/>
              </w:rPr>
              <w:t xml:space="preserve">Modéré</w:t>
            </w:r>
          </w:p>
        </w:tc>
        <w:tc>
          <w:tcPr>
            <w:tcW w:type="dxa" w:w="319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IA = premium, alternatives open-source, facturation unitaire</w:t>
            </w:r>
          </w:p>
        </w:tc>
        <w:tc>
          <w:tcPr>
            <w:tcW w:type="dxa" w:w="12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Mois 6</w:t>
            </w:r>
          </w:p>
        </w:tc>
      </w:tr>
      <w:tr>
        <w:tc>
          <w:tcPr>
            <w:tcW w:type="dxa" w:w="27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RT-06 Projections 3-5× trop hautes</w:t>
            </w:r>
          </w:p>
        </w:tc>
        <w:tc>
          <w:tcPr>
            <w:tcW w:type="dxa" w:w="9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Moyenne</w:t>
            </w:r>
          </w:p>
        </w:tc>
        <w:tc>
          <w:tcPr>
            <w:tcW w:type="dxa" w:w="980"/>
            <w:shd w:fill="FFFFFF" w:val="clear"/>
            <w:tcMar>
              <w:top w:type="dxa" w:w="60"/>
              <w:left w:type="dxa" w:w="110"/>
              <w:bottom w:type="dxa" w:w="60"/>
              <w:right w:type="dxa" w:w="110"/>
            </w:tcMar>
            <w:vAlign w:val="center"/>
          </w:tcPr>
          <w:p>
            <w:pPr>
              <w:spacing w:line="252"/>
            </w:pPr>
            <w:r>
              <w:rPr>
                <w:rFonts w:ascii="Arial" w:cs="Arial" w:eastAsia="Arial" w:hAnsi="Arial"/>
                <w:b/>
                <w:bCs/>
                <w:color w:val="B7791F"/>
              </w:rPr>
              <w:t xml:space="preserve">Élevé</w:t>
            </w:r>
          </w:p>
        </w:tc>
        <w:tc>
          <w:tcPr>
            <w:tcW w:type="dxa" w:w="319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Scénario pessimiste, piloter le GMV (pas les inscrits)</w:t>
            </w:r>
          </w:p>
        </w:tc>
        <w:tc>
          <w:tcPr>
            <w:tcW w:type="dxa" w:w="12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Continu</w:t>
            </w:r>
          </w:p>
        </w:tc>
      </w:tr>
    </w:tbl>
    <w:p>
      <w:pPr>
        <w:pStyle w:val="Heading1"/>
        <w:pageBreakBefore/>
        <w:spacing w:after="160" w:before="320"/>
      </w:pPr>
      <w:r>
        <w:rPr>
          <w:rFonts w:ascii="Arial" w:cs="Arial" w:eastAsia="Arial" w:hAnsi="Arial"/>
          <w:b/>
          <w:bCs/>
          <w:color w:val="00853E"/>
          <w:sz w:val="30"/>
          <w:szCs w:val="30"/>
        </w:rPr>
        <w:t xml:space="preserve">15. Plan d’action 90 jours — priorités révisées</w:t>
      </w:r>
    </w:p>
    <w:tbl>
      <w:tblPr>
        <w:tblW w:type="dxa" w:w="9026"/>
        <w:tblBorders>
          <w:top w:val="single" w:color="E3F2EA" w:sz="1"/>
          <w:left w:val="single" w:color="00853E" w:sz="18"/>
          <w:bottom w:val="single" w:color="E3F2EA" w:sz="1"/>
          <w:right w:val="single" w:color="E3F2EA" w:sz="1"/>
          <w:insideH w:val="single" w:color="auto" w:sz="4"/>
          <w:insideV w:val="single" w:color="auto" w:sz="4"/>
        </w:tblBorders>
      </w:tblPr>
      <w:tblGrid>
        <w:gridCol w:w="9026"/>
      </w:tblGrid>
      <w:tr>
        <w:tc>
          <w:tcPr>
            <w:shd w:fill="E3F2EA" w:val="clear"/>
            <w:tcMar>
              <w:top w:type="dxa" w:w="120"/>
              <w:left w:type="dxa" w:w="200"/>
              <w:bottom w:type="dxa" w:w="120"/>
              <w:right w:type="dxa" w:w="160"/>
            </w:tcMar>
          </w:tcPr>
          <w:p>
            <w:pPr>
              <w:spacing w:after="80"/>
            </w:pPr>
            <w:r>
              <w:rPr>
                <w:rFonts w:ascii="Arial" w:cs="Arial" w:eastAsia="Arial" w:hAnsi="Arial"/>
                <w:b/>
                <w:bCs/>
                <w:color w:val="00853E"/>
                <w:sz w:val="22"/>
                <w:szCs w:val="22"/>
              </w:rPr>
              <w:t xml:space="preserve">La règle des 90 jours</w:t>
            </w:r>
          </w:p>
          <w:p>
            <w:pPr>
              <w:spacing w:after="60" w:line="264"/>
            </w:pPr>
            <w:r>
              <w:rPr>
                <w:rFonts w:ascii="Arial" w:cs="Arial" w:eastAsia="Arial" w:hAnsi="Arial"/>
                <w:sz w:val="21"/>
                <w:szCs w:val="21"/>
              </w:rPr>
              <w:t xml:space="preserve">Une seule métrique nord : le nombre de vendeurs ayant réalisé au moins 1 vente réelle. Tout le reste est secondaire. Les 3 fixes existentiels (§3) passent avant le développement de nouvelles features.</w:t>
            </w:r>
          </w:p>
        </w:tc>
      </w:tr>
    </w:tbl>
    <w:p>
      <w:pPr>
        <w:pStyle w:val="Heading2"/>
        <w:spacing w:after="120" w:before="240"/>
      </w:pPr>
      <w:r>
        <w:rPr>
          <w:rFonts w:ascii="Arial" w:cs="Arial" w:eastAsia="Arial" w:hAnsi="Arial"/>
          <w:b/>
          <w:bCs/>
          <w:color w:val="1F2937"/>
          <w:sz w:val="25"/>
          <w:szCs w:val="25"/>
        </w:rPr>
        <w:t xml:space="preserve">Cette semaine</w:t>
      </w:r>
    </w:p>
    <w:p>
      <w:pPr>
        <w:pStyle w:val="ListParagraph"/>
        <w:numPr>
          <w:ilvl w:val="0"/>
          <w:numId w:val="3"/>
        </w:numPr>
        <w:spacing w:after="80" w:line="270"/>
      </w:pPr>
      <w:r>
        <w:rPr>
          <w:rFonts w:ascii="Arial" w:cs="Arial" w:eastAsia="Arial" w:hAnsi="Arial"/>
        </w:rPr>
        <w:t xml:space="preserve">Installer Plausible Analytics — métriques réelles avant toute décision.</w:t>
      </w:r>
    </w:p>
    <w:p>
      <w:pPr>
        <w:pStyle w:val="ListParagraph"/>
        <w:numPr>
          <w:ilvl w:val="0"/>
          <w:numId w:val="3"/>
        </w:numPr>
        <w:spacing w:after="80" w:line="270"/>
      </w:pPr>
      <w:r>
        <w:rPr>
          <w:rFonts w:ascii="Arial" w:cs="Arial" w:eastAsia="Arial" w:hAnsi="Arial"/>
        </w:rPr>
        <w:t xml:space="preserve">Tester 3 transactions Wave/Orange Money de bout en bout (personnes réelles).</w:t>
      </w:r>
    </w:p>
    <w:p>
      <w:pPr>
        <w:pStyle w:val="ListParagraph"/>
        <w:numPr>
          <w:ilvl w:val="0"/>
          <w:numId w:val="3"/>
        </w:numPr>
        <w:spacing w:after="80" w:line="270"/>
      </w:pPr>
      <w:r>
        <w:rPr>
          <w:rFonts w:ascii="Arial" w:cs="Arial" w:eastAsia="Arial" w:hAnsi="Arial"/>
        </w:rPr>
        <w:t xml:space="preserve">Consulter un juriste BCEAO sur le cadre légal de l’escrow (PM-06).</w:t>
      </w:r>
    </w:p>
    <w:p>
      <w:pPr>
        <w:pStyle w:val="Heading2"/>
        <w:spacing w:after="120" w:before="240"/>
      </w:pPr>
      <w:r>
        <w:rPr>
          <w:rFonts w:ascii="Arial" w:cs="Arial" w:eastAsia="Arial" w:hAnsi="Arial"/>
          <w:b/>
          <w:bCs/>
          <w:color w:val="1F2937"/>
          <w:sz w:val="25"/>
          <w:szCs w:val="25"/>
        </w:rPr>
        <w:t xml:space="preserve">Ce mois</w:t>
      </w:r>
    </w:p>
    <w:p>
      <w:pPr>
        <w:pStyle w:val="ListParagraph"/>
        <w:numPr>
          <w:ilvl w:val="0"/>
          <w:numId w:val="3"/>
        </w:numPr>
        <w:spacing w:after="80" w:line="270"/>
      </w:pPr>
      <w:r>
        <w:rPr>
          <w:rFonts w:ascii="Arial" w:cs="Arial" w:eastAsia="Arial" w:hAnsi="Arial"/>
        </w:rPr>
        <w:t xml:space="preserve">Recruter un stagiaire/co-fondateur pour le support (mitigation PM-02).</w:t>
      </w:r>
    </w:p>
    <w:p>
      <w:pPr>
        <w:pStyle w:val="ListParagraph"/>
        <w:numPr>
          <w:ilvl w:val="0"/>
          <w:numId w:val="3"/>
        </w:numPr>
        <w:spacing w:after="80" w:line="270"/>
      </w:pPr>
      <w:r>
        <w:rPr>
          <w:rFonts w:ascii="Arial" w:cs="Arial" w:eastAsia="Arial" w:hAnsi="Arial"/>
        </w:rPr>
        <w:t xml:space="preserve">Inscrire 10 vendeurs en personne à Sandaga — mesurer chaque friction.</w:t>
      </w:r>
    </w:p>
    <w:p>
      <w:pPr>
        <w:pStyle w:val="ListParagraph"/>
        <w:numPr>
          <w:ilvl w:val="0"/>
          <w:numId w:val="3"/>
        </w:numPr>
        <w:spacing w:after="80" w:line="270"/>
      </w:pPr>
      <w:r>
        <w:rPr>
          <w:rFonts w:ascii="Arial" w:cs="Arial" w:eastAsia="Arial" w:hAnsi="Arial"/>
        </w:rPr>
        <w:t xml:space="preserve">Tester la propension à payer la commission (sondage WhatsApp 5 questions, 20 vendeurs).</w:t>
      </w:r>
    </w:p>
    <w:p>
      <w:pPr>
        <w:pStyle w:val="ListParagraph"/>
        <w:numPr>
          <w:ilvl w:val="0"/>
          <w:numId w:val="3"/>
        </w:numPr>
        <w:spacing w:after="80" w:line="270"/>
      </w:pPr>
      <w:r>
        <w:rPr>
          <w:rFonts w:ascii="Arial" w:cs="Arial" w:eastAsia="Arial" w:hAnsi="Arial"/>
        </w:rPr>
        <w:t xml:space="preserve">Lancer « Premier achat garanti » (acquisition acheteurs, RT-02).</w:t>
      </w:r>
    </w:p>
    <w:p>
      <w:pPr>
        <w:pStyle w:val="Heading2"/>
        <w:spacing w:after="120" w:before="240"/>
      </w:pPr>
      <w:r>
        <w:rPr>
          <w:rFonts w:ascii="Arial" w:cs="Arial" w:eastAsia="Arial" w:hAnsi="Arial"/>
          <w:b/>
          <w:bCs/>
          <w:color w:val="1F2937"/>
          <w:sz w:val="25"/>
          <w:szCs w:val="25"/>
        </w:rPr>
        <w:t xml:space="preserve">Les 90 jours</w:t>
      </w:r>
    </w:p>
    <w:p>
      <w:pPr>
        <w:pStyle w:val="ListParagraph"/>
        <w:numPr>
          <w:ilvl w:val="0"/>
          <w:numId w:val="3"/>
        </w:numPr>
        <w:spacing w:after="80" w:line="270"/>
      </w:pPr>
      <w:r>
        <w:rPr>
          <w:rFonts w:ascii="Arial" w:cs="Arial" w:eastAsia="Arial" w:hAnsi="Arial"/>
        </w:rPr>
        <w:t xml:space="preserve">Activer Notifications Premium WhatsApp (mécanisme passif priorité 1).</w:t>
      </w:r>
    </w:p>
    <w:p>
      <w:pPr>
        <w:pStyle w:val="ListParagraph"/>
        <w:numPr>
          <w:ilvl w:val="0"/>
          <w:numId w:val="3"/>
        </w:numPr>
        <w:spacing w:after="80" w:line="270"/>
      </w:pPr>
      <w:r>
        <w:rPr>
          <w:rFonts w:ascii="Arial" w:cs="Arial" w:eastAsia="Arial" w:hAnsi="Arial"/>
        </w:rPr>
        <w:t xml:space="preserve">Intégrer le markup logistique (mécanisme passif priorité 1).</w:t>
      </w:r>
    </w:p>
    <w:p>
      <w:pPr>
        <w:pStyle w:val="ListParagraph"/>
        <w:numPr>
          <w:ilvl w:val="0"/>
          <w:numId w:val="3"/>
        </w:numPr>
        <w:spacing w:after="80" w:line="270"/>
      </w:pPr>
      <w:r>
        <w:rPr>
          <w:rFonts w:ascii="Arial" w:cs="Arial" w:eastAsia="Arial" w:hAnsi="Arial"/>
        </w:rPr>
        <w:t xml:space="preserve">Publier 2 articles SEO (« vendre en ligne Sénégal », « marketplace Dakar »).</w:t>
      </w:r>
    </w:p>
    <w:p>
      <w:pPr>
        <w:pStyle w:val="ListParagraph"/>
        <w:numPr>
          <w:ilvl w:val="0"/>
          <w:numId w:val="3"/>
        </w:numPr>
        <w:spacing w:after="80" w:line="270"/>
      </w:pPr>
      <w:r>
        <w:rPr>
          <w:rFonts w:ascii="Arial" w:cs="Arial" w:eastAsia="Arial" w:hAnsi="Arial"/>
        </w:rPr>
        <w:t xml:space="preserve">Constituer la réserve de 200 000 FCFA pour les premiers litiges.</w:t>
      </w:r>
    </w:p>
    <w:p>
      <w:pPr>
        <w:pStyle w:val="ListParagraph"/>
        <w:numPr>
          <w:ilvl w:val="0"/>
          <w:numId w:val="3"/>
        </w:numPr>
        <w:spacing w:after="80" w:line="270"/>
      </w:pPr>
      <w:r>
        <w:rPr>
          <w:rFonts w:ascii="Arial" w:cs="Arial" w:eastAsia="Arial" w:hAnsi="Arial"/>
        </w:rPr>
        <w:t xml:space="preserve">Planifier la migration modulaire (démarrage Mois 3) + tests parcours critiques.</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1700"/>
        <w:gridCol w:w="7326"/>
      </w:tblGrid>
      <w:tr>
        <w:trPr>
          <w:tblHeader/>
        </w:trPr>
        <w:tc>
          <w:tcPr>
            <w:tcW w:type="dxa" w:w="17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Échéance</w:t>
            </w:r>
          </w:p>
        </w:tc>
        <w:tc>
          <w:tcPr>
            <w:tcW w:type="dxa" w:w="73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Objectif mesurable</w:t>
            </w:r>
          </w:p>
        </w:tc>
      </w:tr>
      <w:tr>
        <w:tc>
          <w:tcPr>
            <w:tcW w:type="dxa" w:w="17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Mois 1</w:t>
            </w:r>
          </w:p>
        </w:tc>
        <w:tc>
          <w:tcPr>
            <w:tcW w:type="dxa" w:w="73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Site à 100 %, métriques actives, 10 vendeurs, juriste consulté</w:t>
            </w:r>
          </w:p>
        </w:tc>
      </w:tr>
      <w:tr>
        <w:tc>
          <w:tcPr>
            <w:tcW w:type="dxa" w:w="17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Mois 2</w:t>
            </w:r>
          </w:p>
        </w:tc>
        <w:tc>
          <w:tcPr>
            <w:tcW w:type="dxa" w:w="73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30 vendeurs actifs, 3 ventes réelles complètes, appui recruté</w:t>
            </w:r>
          </w:p>
        </w:tc>
      </w:tr>
      <w:tr>
        <w:tc>
          <w:tcPr>
            <w:tcW w:type="dxa" w:w="17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Mois 3</w:t>
            </w:r>
          </w:p>
        </w:tc>
        <w:tc>
          <w:tcPr>
            <w:tcW w:type="dxa" w:w="73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50 vendeurs actifs, 1er revenu (≈ 260 K FCFA), 2 ambassadeurs, NPS &gt; 7/10</w:t>
            </w:r>
          </w:p>
        </w:tc>
      </w:tr>
    </w:tbl>
    <w:p>
      <w:pPr>
        <w:pStyle w:val="Heading1"/>
        <w:pageBreakBefore/>
        <w:spacing w:after="160" w:before="320"/>
      </w:pPr>
      <w:r>
        <w:rPr>
          <w:rFonts w:ascii="Arial" w:cs="Arial" w:eastAsia="Arial" w:hAnsi="Arial"/>
          <w:b/>
          <w:bCs/>
          <w:color w:val="00853E"/>
          <w:sz w:val="30"/>
          <w:szCs w:val="30"/>
        </w:rPr>
        <w:t xml:space="preserve">16. Conclusion</w:t>
      </w:r>
    </w:p>
    <w:p>
      <w:pPr>
        <w:spacing w:after="120" w:line="276"/>
      </w:pPr>
      <w:r>
        <w:rPr>
          <w:rFonts w:ascii="Arial" w:cs="Arial" w:eastAsia="Arial" w:hAnsi="Arial"/>
        </w:rPr>
        <w:t xml:space="preserve">Vous avez créé en solo ce que des équipes de 10 personnes financées peinent à construire. La technologie est là, solide et bien pensée. Les avantages concurrentiels sont réels et non-copiables à court terme.</w:t>
      </w:r>
    </w:p>
    <w:p>
      <w:pPr>
        <w:spacing w:after="120" w:line="276"/>
      </w:pPr>
      <w:r>
        <w:rPr>
          <w:rFonts w:ascii="Arial" w:cs="Arial" w:eastAsia="Arial" w:hAnsi="Arial"/>
        </w:rPr>
        <w:t xml:space="preserve">Ce qui décidera de l’issue, ce n’est pas le code — c’est la capacité à transformer chaque analyse en action concrète dans les 30 prochains jours, et à tenir trois disciplines : </w:t>
      </w:r>
      <w:r>
        <w:rPr>
          <w:rFonts w:ascii="Arial" w:cs="Arial" w:eastAsia="Arial" w:hAnsi="Arial"/>
          <w:b/>
          <w:bCs/>
        </w:rPr>
        <w:t xml:space="preserve">mesurer la propension à payer, recruter un appui humain, et sécuriser l’escrow juridiquement.</w:t>
      </w:r>
    </w:p>
    <w:p>
      <w:pPr>
        <w:spacing w:after="120" w:line="276"/>
      </w:pPr>
      <w:r>
        <w:rPr>
          <w:rFonts w:ascii="Arial" w:cs="Arial" w:eastAsia="Arial" w:hAnsi="Arial"/>
        </w:rPr>
        <w:t xml:space="preserve">Les cadres OODA, SWOT, Red Team et Pré-Mortem ne sont pas des obstacles — ce sont vos instruments de navigation. Un capitaine qui connaît les récifs navigue plus vite, pas plus lentement.</w:t>
      </w:r>
    </w:p>
    <w:p>
      <w:pPr>
        <w:spacing w:after="160" w:before="120"/>
      </w:pPr>
      <w:r>
        <w:rPr>
          <w:rFonts w:ascii="Arial" w:cs="Arial" w:eastAsia="Arial" w:hAnsi="Arial"/>
          <w:i/>
          <w:iCs/>
        </w:rPr>
        <w:t xml:space="preserve">La vraie bataille se gagne dans les rues de Dakar, dans les groupes WhatsApp des commerçants, et dans chaque vendeur convaincu un par un. Un vendeur à la fois. Une transaction à la fois.</w:t>
      </w:r>
    </w:p>
    <w:p>
      <w:pPr>
        <w:spacing w:before="200"/>
        <w:jc w:val="center"/>
      </w:pPr>
      <w:r>
        <w:rPr>
          <w:rFonts w:ascii="Arial" w:cs="Arial" w:eastAsia="Arial" w:hAnsi="Arial"/>
          <w:b/>
          <w:bCs/>
          <w:color w:val="00853E"/>
          <w:sz w:val="26"/>
          <w:szCs w:val="26"/>
        </w:rPr>
        <w:t xml:space="preserve">Baréa wala barsakh. Un risque à la fois.</w:t>
      </w:r>
    </w:p>
    <w:p>
      <w:pPr>
        <w:pStyle w:val="Heading1"/>
        <w:pageBreakBefore/>
        <w:spacing w:after="160" w:before="320"/>
      </w:pPr>
      <w:r>
        <w:rPr>
          <w:rFonts w:ascii="Arial" w:cs="Arial" w:eastAsia="Arial" w:hAnsi="Arial"/>
          <w:b/>
          <w:bCs/>
          <w:color w:val="00853E"/>
          <w:sz w:val="30"/>
          <w:szCs w:val="30"/>
        </w:rPr>
        <w:t xml:space="preserve">Annexe A — Feuille de route produit (par difficulté d’implémentation)</w:t>
      </w:r>
    </w:p>
    <w:p>
      <w:pPr>
        <w:spacing w:after="120" w:line="276"/>
      </w:pPr>
      <w:r>
        <w:rPr>
          <w:rFonts w:ascii="Arial" w:cs="Arial" w:eastAsia="Arial" w:hAnsi="Arial"/>
        </w:rPr>
        <w:t xml:space="preserve">Backlog des fonctionnalités et modifications à apporter à la plateforme, classé par effort d’implémentation. Découle des gaps techniques connus, des recommandations de l’analyse stratégique (RT / PM) et des mécanismes de revenus du présent plan. La colonne Impact aide à arbitrer effort vs valeur.</w:t>
      </w:r>
    </w:p>
    <w:p>
      <w:pPr>
        <w:pStyle w:val="Heading2"/>
        <w:spacing w:after="120" w:before="240"/>
      </w:pPr>
      <w:r>
        <w:rPr>
          <w:rFonts w:ascii="Arial" w:cs="Arial" w:eastAsia="Arial" w:hAnsi="Arial"/>
          <w:b/>
          <w:bCs/>
          <w:color w:val="1F2937"/>
          <w:sz w:val="25"/>
          <w:szCs w:val="25"/>
        </w:rPr>
        <w:t xml:space="preserve">A.1 Facile — quick wins (quelques heures)</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550"/>
        <w:gridCol w:w="3400"/>
        <w:gridCol w:w="3576"/>
        <w:gridCol w:w="1500"/>
      </w:tblGrid>
      <w:tr>
        <w:trPr>
          <w:tblHeader/>
        </w:trPr>
        <w:tc>
          <w:tcPr>
            <w:tcW w:type="dxa" w:w="55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w:t>
            </w:r>
          </w:p>
        </w:tc>
        <w:tc>
          <w:tcPr>
            <w:tcW w:type="dxa" w:w="34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Action</w:t>
            </w:r>
          </w:p>
        </w:tc>
        <w:tc>
          <w:tcPr>
            <w:tcW w:type="dxa" w:w="357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Pourquoi</w:t>
            </w:r>
          </w:p>
        </w:tc>
        <w:tc>
          <w:tcPr>
            <w:tcW w:type="dxa" w:w="15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Impact</w:t>
            </w:r>
          </w:p>
        </w:tc>
      </w:tr>
      <w:tr>
        <w:tc>
          <w:tcPr>
            <w:tcW w:type="dxa" w:w="5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w:t>
            </w:r>
          </w:p>
        </w:tc>
        <w:tc>
          <w:tcPr>
            <w:tcW w:type="dxa" w:w="34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Exécuter les migrations en attente (payout_requests, rate_limits)</w:t>
            </w:r>
          </w:p>
        </w:tc>
        <w:tc>
          <w:tcPr>
            <w:tcW w:type="dxa" w:w="357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Le code les attend déjà → bugs sinon</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Élevé</w:t>
            </w:r>
          </w:p>
        </w:tc>
      </w:tr>
      <w:tr>
        <w:tc>
          <w:tcPr>
            <w:tcW w:type="dxa" w:w="55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w:t>
            </w:r>
          </w:p>
        </w:tc>
        <w:tc>
          <w:tcPr>
            <w:tcW w:type="dxa" w:w="34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Corriger notifications.user_id = "admin" → UUID (ADMIN_USER_ID)</w:t>
            </w:r>
          </w:p>
        </w:tc>
        <w:tc>
          <w:tcPr>
            <w:tcW w:type="dxa" w:w="357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INSERT échoue (contrainte)</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Élevé</w:t>
            </w:r>
          </w:p>
        </w:tc>
      </w:tr>
      <w:tr>
        <w:tc>
          <w:tcPr>
            <w:tcW w:type="dxa" w:w="5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w:t>
            </w:r>
          </w:p>
        </w:tc>
        <w:tc>
          <w:tcPr>
            <w:tcW w:type="dxa" w:w="34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Plafonner l’escrow à 50 000 FCFA</w:t>
            </w:r>
          </w:p>
        </w:tc>
        <w:tc>
          <w:tcPr>
            <w:tcW w:type="dxa" w:w="357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Garde-fou anti-fraude (PM-03)</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Élevé</w:t>
            </w:r>
          </w:p>
        </w:tc>
      </w:tr>
      <w:tr>
        <w:tc>
          <w:tcPr>
            <w:tcW w:type="dxa" w:w="55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4</w:t>
            </w:r>
          </w:p>
        </w:tc>
        <w:tc>
          <w:tcPr>
            <w:tcW w:type="dxa" w:w="34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Installer Plausible Analytics</w:t>
            </w:r>
          </w:p>
        </w:tc>
        <w:tc>
          <w:tcPr>
            <w:tcW w:type="dxa" w:w="357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Mesurer avant de décider (OODA)</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Élevé</w:t>
            </w:r>
          </w:p>
        </w:tc>
      </w:tr>
      <w:tr>
        <w:tc>
          <w:tcPr>
            <w:tcW w:type="dxa" w:w="5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5</w:t>
            </w:r>
          </w:p>
        </w:tc>
        <w:tc>
          <w:tcPr>
            <w:tcW w:type="dxa" w:w="34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Section FAQ visible (alimente le JSON-LD FAQPage)</w:t>
            </w:r>
          </w:p>
        </w:tc>
        <w:tc>
          <w:tcPr>
            <w:tcW w:type="dxa" w:w="357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Débloque le rich snippet Google</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Moyen</w:t>
            </w:r>
          </w:p>
        </w:tc>
      </w:tr>
      <w:tr>
        <w:tc>
          <w:tcPr>
            <w:tcW w:type="dxa" w:w="55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6</w:t>
            </w:r>
          </w:p>
        </w:tc>
        <w:tc>
          <w:tcPr>
            <w:tcW w:type="dxa" w:w="34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Retirer les cibles de déploiement mortes (Vercel, Render, Docker)</w:t>
            </w:r>
          </w:p>
        </w:tc>
        <w:tc>
          <w:tcPr>
            <w:tcW w:type="dxa" w:w="357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Cloudflare = seule cible</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Faible</w:t>
            </w:r>
          </w:p>
        </w:tc>
      </w:tr>
      <w:tr>
        <w:tc>
          <w:tcPr>
            <w:tcW w:type="dxa" w:w="5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7</w:t>
            </w:r>
          </w:p>
        </w:tc>
        <w:tc>
          <w:tcPr>
            <w:tcW w:type="dxa" w:w="34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Supprimer refresh_tokens + vars JWT inutilisées</w:t>
            </w:r>
          </w:p>
        </w:tc>
        <w:tc>
          <w:tcPr>
            <w:tcW w:type="dxa" w:w="357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Code mort, risque de conflit</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Faible</w:t>
            </w:r>
          </w:p>
        </w:tc>
      </w:tr>
      <w:tr>
        <w:tc>
          <w:tcPr>
            <w:tcW w:type="dxa" w:w="55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8</w:t>
            </w:r>
          </w:p>
        </w:tc>
        <w:tc>
          <w:tcPr>
            <w:tcW w:type="dxa" w:w="34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Ping IndexNow sur l’insert produit en masse</w:t>
            </w:r>
          </w:p>
        </w:tc>
        <w:tc>
          <w:tcPr>
            <w:tcW w:type="dxa" w:w="357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Indexation Bing/Yandex complète</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Faible</w:t>
            </w:r>
          </w:p>
        </w:tc>
      </w:tr>
      <w:tr>
        <w:tc>
          <w:tcPr>
            <w:tcW w:type="dxa" w:w="5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9</w:t>
            </w:r>
          </w:p>
        </w:tc>
        <w:tc>
          <w:tcPr>
            <w:tcW w:type="dxa" w:w="34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Configurer le vrai Sentry DSN</w:t>
            </w:r>
          </w:p>
        </w:tc>
        <w:tc>
          <w:tcPr>
            <w:tcW w:type="dxa" w:w="357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Monitoring erreurs prod</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Moyen</w:t>
            </w:r>
          </w:p>
        </w:tc>
      </w:tr>
      <w:tr>
        <w:tc>
          <w:tcPr>
            <w:tcW w:type="dxa" w:w="55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10</w:t>
            </w:r>
          </w:p>
        </w:tc>
        <w:tc>
          <w:tcPr>
            <w:tcW w:type="dxa" w:w="34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Clauses CGU : données anonymisées (DaaS) + float escrow</w:t>
            </w:r>
          </w:p>
        </w:tc>
        <w:tc>
          <w:tcPr>
            <w:tcW w:type="dxa" w:w="357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Pré-requis légal des revenus passifs</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Moyen</w:t>
            </w:r>
          </w:p>
        </w:tc>
      </w:tr>
    </w:tbl>
    <w:p>
      <w:pPr>
        <w:pStyle w:val="Heading2"/>
        <w:spacing w:after="120" w:before="240"/>
      </w:pPr>
      <w:r>
        <w:rPr>
          <w:rFonts w:ascii="Arial" w:cs="Arial" w:eastAsia="Arial" w:hAnsi="Arial"/>
          <w:b/>
          <w:bCs/>
          <w:color w:val="1F2937"/>
          <w:sz w:val="25"/>
          <w:szCs w:val="25"/>
        </w:rPr>
        <w:t xml:space="preserve">A.2 Moyen — quelques jours</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550"/>
        <w:gridCol w:w="3400"/>
        <w:gridCol w:w="3576"/>
        <w:gridCol w:w="1500"/>
      </w:tblGrid>
      <w:tr>
        <w:trPr>
          <w:tblHeader/>
        </w:trPr>
        <w:tc>
          <w:tcPr>
            <w:tcW w:type="dxa" w:w="55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w:t>
            </w:r>
          </w:p>
        </w:tc>
        <w:tc>
          <w:tcPr>
            <w:tcW w:type="dxa" w:w="34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Action</w:t>
            </w:r>
          </w:p>
        </w:tc>
        <w:tc>
          <w:tcPr>
            <w:tcW w:type="dxa" w:w="357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Pourquoi</w:t>
            </w:r>
          </w:p>
        </w:tc>
        <w:tc>
          <w:tcPr>
            <w:tcW w:type="dxa" w:w="15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Impact</w:t>
            </w:r>
          </w:p>
        </w:tc>
      </w:tr>
      <w:tr>
        <w:tc>
          <w:tcPr>
            <w:tcW w:type="dxa" w:w="5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11</w:t>
            </w:r>
          </w:p>
        </w:tc>
        <w:tc>
          <w:tcPr>
            <w:tcW w:type="dxa" w:w="34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Commission progressive configurable (0 %→5 %→10 %→15 %)</w:t>
            </w:r>
          </w:p>
        </w:tc>
        <w:tc>
          <w:tcPr>
            <w:tcW w:type="dxa" w:w="357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Décision existentielle (RT-01)</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Élevé</w:t>
            </w:r>
          </w:p>
        </w:tc>
      </w:tr>
      <w:tr>
        <w:tc>
          <w:tcPr>
            <w:tcW w:type="dxa" w:w="55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12</w:t>
            </w:r>
          </w:p>
        </w:tc>
        <w:tc>
          <w:tcPr>
            <w:tcW w:type="dxa" w:w="34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Numéro de téléphone masqué + contact via plateforme</w:t>
            </w:r>
          </w:p>
        </w:tc>
        <w:tc>
          <w:tcPr>
            <w:tcW w:type="dxa" w:w="357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Anti-contournement WhatsApp (RT-01)</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Élevé</w:t>
            </w:r>
          </w:p>
        </w:tc>
      </w:tr>
      <w:tr>
        <w:tc>
          <w:tcPr>
            <w:tcW w:type="dxa" w:w="5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13</w:t>
            </w:r>
          </w:p>
        </w:tc>
        <w:tc>
          <w:tcPr>
            <w:tcW w:type="dxa" w:w="34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Confirmation de livraison par photo avant libération escrow</w:t>
            </w:r>
          </w:p>
        </w:tc>
        <w:tc>
          <w:tcPr>
            <w:tcW w:type="dxa" w:w="357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Sécurise l’USP (RT-04)</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Élevé</w:t>
            </w:r>
          </w:p>
        </w:tc>
      </w:tr>
      <w:tr>
        <w:tc>
          <w:tcPr>
            <w:tcW w:type="dxa" w:w="55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14</w:t>
            </w:r>
          </w:p>
        </w:tc>
        <w:tc>
          <w:tcPr>
            <w:tcW w:type="dxa" w:w="34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 Premier achat garanti » (remboursement arnaque)</w:t>
            </w:r>
          </w:p>
        </w:tc>
        <w:tc>
          <w:tcPr>
            <w:tcW w:type="dxa" w:w="357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Acquisition acheteurs (RT-02)</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Élevé</w:t>
            </w:r>
          </w:p>
        </w:tc>
      </w:tr>
      <w:tr>
        <w:tc>
          <w:tcPr>
            <w:tcW w:type="dxa" w:w="5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15</w:t>
            </w:r>
          </w:p>
        </w:tc>
        <w:tc>
          <w:tcPr>
            <w:tcW w:type="dxa" w:w="34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Notifications Premium WhatsApp payantes (checkout)</w:t>
            </w:r>
          </w:p>
        </w:tc>
        <w:tc>
          <w:tcPr>
            <w:tcW w:type="dxa" w:w="357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Revenu passif priorité 1</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Moyen</w:t>
            </w:r>
          </w:p>
        </w:tc>
      </w:tr>
      <w:tr>
        <w:tc>
          <w:tcPr>
            <w:tcW w:type="dxa" w:w="55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16</w:t>
            </w:r>
          </w:p>
        </w:tc>
        <w:tc>
          <w:tcPr>
            <w:tcW w:type="dxa" w:w="34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Markup logistique automatisé (API livraison + marge)</w:t>
            </w:r>
          </w:p>
        </w:tc>
        <w:tc>
          <w:tcPr>
            <w:tcW w:type="dxa" w:w="357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Revenu passif priorité 1</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Moyen</w:t>
            </w:r>
          </w:p>
        </w:tc>
      </w:tr>
      <w:tr>
        <w:tc>
          <w:tcPr>
            <w:tcW w:type="dxa" w:w="5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17</w:t>
            </w:r>
          </w:p>
        </w:tc>
        <w:tc>
          <w:tcPr>
            <w:tcW w:type="dxa" w:w="34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Définir api_keys + RPC api_key_validate</w:t>
            </w:r>
          </w:p>
        </w:tc>
        <w:tc>
          <w:tcPr>
            <w:tcW w:type="dxa" w:w="357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Flux Merchant/Pro cassé sinon</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Moyen</w:t>
            </w:r>
          </w:p>
        </w:tc>
      </w:tr>
      <w:tr>
        <w:tc>
          <w:tcPr>
            <w:tcW w:type="dxa" w:w="55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18</w:t>
            </w:r>
          </w:p>
        </w:tc>
        <w:tc>
          <w:tcPr>
            <w:tcW w:type="dxa" w:w="34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Standardiser les réponses API (_lib/response.js)</w:t>
            </w:r>
          </w:p>
        </w:tc>
        <w:tc>
          <w:tcPr>
            <w:tcW w:type="dxa" w:w="357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Cohérence, maintenabilité</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Moyen</w:t>
            </w:r>
          </w:p>
        </w:tc>
      </w:tr>
      <w:tr>
        <w:tc>
          <w:tcPr>
            <w:tcW w:type="dxa" w:w="5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19</w:t>
            </w:r>
          </w:p>
        </w:tc>
        <w:tc>
          <w:tcPr>
            <w:tcW w:type="dxa" w:w="34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Tests automatisés des parcours critiques</w:t>
            </w:r>
          </w:p>
        </w:tc>
        <w:tc>
          <w:tcPr>
            <w:tcW w:type="dxa" w:w="357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Évite les régressions (RT-05)</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Élevé</w:t>
            </w:r>
          </w:p>
        </w:tc>
      </w:tr>
      <w:tr>
        <w:tc>
          <w:tcPr>
            <w:tcW w:type="dxa" w:w="55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20</w:t>
            </w:r>
          </w:p>
        </w:tc>
        <w:tc>
          <w:tcPr>
            <w:tcW w:type="dxa" w:w="34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Monitoring quota Supabase + cache Cloudflare</w:t>
            </w:r>
          </w:p>
        </w:tc>
        <w:tc>
          <w:tcPr>
            <w:tcW w:type="dxa" w:w="357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Anti-panne pic Tabaski (PM-04)</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Moyen</w:t>
            </w:r>
          </w:p>
        </w:tc>
      </w:tr>
      <w:tr>
        <w:tc>
          <w:tcPr>
            <w:tcW w:type="dxa" w:w="5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21</w:t>
            </w:r>
          </w:p>
        </w:tc>
        <w:tc>
          <w:tcPr>
            <w:tcW w:type="dxa" w:w="34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Liste email (Brevo) + canal Telegram de secours</w:t>
            </w:r>
          </w:p>
        </w:tc>
        <w:tc>
          <w:tcPr>
            <w:tcW w:type="dxa" w:w="357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Ne pas dépendre de WhatsApp (RT-07)</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Moyen</w:t>
            </w:r>
          </w:p>
        </w:tc>
      </w:tr>
      <w:tr>
        <w:tc>
          <w:tcPr>
            <w:tcW w:type="dxa" w:w="55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22</w:t>
            </w:r>
          </w:p>
        </w:tc>
        <w:tc>
          <w:tcPr>
            <w:tcW w:type="dxa" w:w="34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Bot FAQ / automatisation du support</w:t>
            </w:r>
          </w:p>
        </w:tc>
        <w:tc>
          <w:tcPr>
            <w:tcW w:type="dxa" w:w="357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Mitigation burnout (PM-02)</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Élevé</w:t>
            </w:r>
          </w:p>
        </w:tc>
      </w:tr>
      <w:tr>
        <w:tc>
          <w:tcPr>
            <w:tcW w:type="dxa" w:w="5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23</w:t>
            </w:r>
          </w:p>
        </w:tc>
        <w:tc>
          <w:tcPr>
            <w:tcW w:type="dxa" w:w="34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Affiliation B2B « Équiper ma boutique »</w:t>
            </w:r>
          </w:p>
        </w:tc>
        <w:tc>
          <w:tcPr>
            <w:tcW w:type="dxa" w:w="357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Revenu passif priorité 2</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Faible</w:t>
            </w:r>
          </w:p>
        </w:tc>
      </w:tr>
      <w:tr>
        <w:tc>
          <w:tcPr>
            <w:tcW w:type="dxa" w:w="55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24</w:t>
            </w:r>
          </w:p>
        </w:tc>
        <w:tc>
          <w:tcPr>
            <w:tcW w:type="dxa" w:w="34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Broadcast/newsletter acheteur + ventes flash</w:t>
            </w:r>
          </w:p>
        </w:tc>
        <w:tc>
          <w:tcPr>
            <w:tcW w:type="dxa" w:w="357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Récurrence du trafic acheteur</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Moyen</w:t>
            </w:r>
          </w:p>
        </w:tc>
      </w:tr>
      <w:tr>
        <w:tc>
          <w:tcPr>
            <w:tcW w:type="dxa" w:w="5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25</w:t>
            </w:r>
          </w:p>
        </w:tc>
        <w:tc>
          <w:tcPr>
            <w:tcW w:type="dxa" w:w="34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Optimisation Core Web Vitals (lazy-load, poids)</w:t>
            </w:r>
          </w:p>
        </w:tc>
        <w:tc>
          <w:tcPr>
            <w:tcW w:type="dxa" w:w="357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Vitesse = SEO + conversion</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Moyen</w:t>
            </w:r>
          </w:p>
        </w:tc>
      </w:tr>
    </w:tbl>
    <w:p>
      <w:pPr>
        <w:pStyle w:val="Heading2"/>
        <w:spacing w:after="120" w:before="240"/>
      </w:pPr>
      <w:r>
        <w:rPr>
          <w:rFonts w:ascii="Arial" w:cs="Arial" w:eastAsia="Arial" w:hAnsi="Arial"/>
          <w:b/>
          <w:bCs/>
          <w:color w:val="1F2937"/>
          <w:sz w:val="25"/>
          <w:szCs w:val="25"/>
        </w:rPr>
        <w:t xml:space="preserve">A.3 Difficile — chantiers structurants (semaines / accès prod)</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550"/>
        <w:gridCol w:w="3400"/>
        <w:gridCol w:w="3576"/>
        <w:gridCol w:w="1500"/>
      </w:tblGrid>
      <w:tr>
        <w:trPr>
          <w:tblHeader/>
        </w:trPr>
        <w:tc>
          <w:tcPr>
            <w:tcW w:type="dxa" w:w="55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w:t>
            </w:r>
          </w:p>
        </w:tc>
        <w:tc>
          <w:tcPr>
            <w:tcW w:type="dxa" w:w="34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Action</w:t>
            </w:r>
          </w:p>
        </w:tc>
        <w:tc>
          <w:tcPr>
            <w:tcW w:type="dxa" w:w="357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Pourquoi</w:t>
            </w:r>
          </w:p>
        </w:tc>
        <w:tc>
          <w:tcPr>
            <w:tcW w:type="dxa" w:w="15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Impact</w:t>
            </w:r>
          </w:p>
        </w:tc>
      </w:tr>
      <w:tr>
        <w:tc>
          <w:tcPr>
            <w:tcW w:type="dxa" w:w="5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26</w:t>
            </w:r>
          </w:p>
        </w:tc>
        <w:tc>
          <w:tcPr>
            <w:tcW w:type="dxa" w:w="34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Réconcilier les 2 jeux de migrations (orders.id, loyalty_points)</w:t>
            </w:r>
          </w:p>
        </w:tc>
        <w:tc>
          <w:tcPr>
            <w:tcW w:type="dxa" w:w="357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Incohérence schéma — accès BD prod requis</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Élevé</w:t>
            </w:r>
          </w:p>
        </w:tc>
      </w:tr>
      <w:tr>
        <w:tc>
          <w:tcPr>
            <w:tcW w:type="dxa" w:w="55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27</w:t>
            </w:r>
          </w:p>
        </w:tc>
        <w:tc>
          <w:tcPr>
            <w:tcW w:type="dxa" w:w="34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Découper le monolithe index.html (~37k lignes) en modules</w:t>
            </w:r>
          </w:p>
        </w:tc>
        <w:tc>
          <w:tcPr>
            <w:tcW w:type="dxa" w:w="357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Dette critique, onboarding (RT-05)</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Élevé</w:t>
            </w:r>
          </w:p>
        </w:tc>
      </w:tr>
      <w:tr>
        <w:tc>
          <w:tcPr>
            <w:tcW w:type="dxa" w:w="5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28</w:t>
            </w:r>
          </w:p>
        </w:tc>
        <w:tc>
          <w:tcPr>
            <w:tcW w:type="dxa" w:w="34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DaaS — endpoint rapports de marché (agrégation + PDF)</w:t>
            </w:r>
          </w:p>
        </w:tc>
        <w:tc>
          <w:tcPr>
            <w:tcW w:type="dxa" w:w="357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Revenu An 2 (rapports gratuits d’abord)</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Moyen</w:t>
            </w:r>
          </w:p>
        </w:tc>
      </w:tr>
      <w:tr>
        <w:tc>
          <w:tcPr>
            <w:tcW w:type="dxa" w:w="55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29</w:t>
            </w:r>
          </w:p>
        </w:tc>
        <w:tc>
          <w:tcPr>
            <w:tcW w:type="dxa" w:w="34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Fallback IA Wolof open-source (Whisper local / Ollama)</w:t>
            </w:r>
          </w:p>
        </w:tc>
        <w:tc>
          <w:tcPr>
            <w:tcW w:type="dxa" w:w="357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Si Groq devient payant (PM-08)</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Moyen</w:t>
            </w:r>
          </w:p>
        </w:tc>
      </w:tr>
      <w:tr>
        <w:tc>
          <w:tcPr>
            <w:tcW w:type="dxa" w:w="55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30</w:t>
            </w:r>
          </w:p>
        </w:tc>
        <w:tc>
          <w:tcPr>
            <w:tcW w:type="dxa" w:w="34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Blog SEO intégré (articles « vendre en ligne Sénégal »)</w:t>
            </w:r>
          </w:p>
        </w:tc>
        <w:tc>
          <w:tcPr>
            <w:tcW w:type="dxa" w:w="357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Acquisition organique long terme</w:t>
            </w:r>
          </w:p>
        </w:tc>
        <w:tc>
          <w:tcPr>
            <w:tcW w:type="dxa" w:w="15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Moyen</w:t>
            </w:r>
          </w:p>
        </w:tc>
      </w:tr>
      <w:tr>
        <w:tc>
          <w:tcPr>
            <w:tcW w:type="dxa" w:w="55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31</w:t>
            </w:r>
          </w:p>
        </w:tc>
        <w:tc>
          <w:tcPr>
            <w:tcW w:type="dxa" w:w="34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Float escrow (compte rémunéré) + conformité BCEAO</w:t>
            </w:r>
          </w:p>
        </w:tc>
        <w:tc>
          <w:tcPr>
            <w:tcW w:type="dxa" w:w="357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Revenu fintech + dé-risquage (PM-06)</w:t>
            </w:r>
          </w:p>
        </w:tc>
        <w:tc>
          <w:tcPr>
            <w:tcW w:type="dxa" w:w="15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Moyen</w:t>
            </w:r>
          </w:p>
        </w:tc>
      </w:tr>
    </w:tbl>
    <w:p>
      <w:pPr>
        <w:pStyle w:val="Heading2"/>
        <w:spacing w:after="120" w:before="240"/>
      </w:pPr>
      <w:r>
        <w:rPr>
          <w:rFonts w:ascii="Arial" w:cs="Arial" w:eastAsia="Arial" w:hAnsi="Arial"/>
          <w:b/>
          <w:bCs/>
          <w:color w:val="1F2937"/>
          <w:sz w:val="25"/>
          <w:szCs w:val="25"/>
        </w:rPr>
        <w:t xml:space="preserve">A.4 Séquencement recommandé (les 90 jours)</w:t>
      </w:r>
    </w:p>
    <w:tbl>
      <w:tblPr>
        <w:tblW w:type="dxa" w:w="9026"/>
        <w:tblBorders>
          <w:top w:val="single" w:color="D0D7D2" w:sz="1"/>
          <w:left w:val="single" w:color="D0D7D2" w:sz="1"/>
          <w:bottom w:val="single" w:color="D0D7D2" w:sz="1"/>
          <w:right w:val="single" w:color="D0D7D2" w:sz="1"/>
          <w:insideH w:val="single" w:color="D0D7D2" w:sz="1"/>
          <w:insideV w:val="single" w:color="D0D7D2" w:sz="1"/>
        </w:tblBorders>
      </w:tblPr>
      <w:tblGrid>
        <w:gridCol w:w="1900"/>
        <w:gridCol w:w="7126"/>
      </w:tblGrid>
      <w:tr>
        <w:trPr>
          <w:tblHeader/>
        </w:trPr>
        <w:tc>
          <w:tcPr>
            <w:tcW w:type="dxa" w:w="1900"/>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Période</w:t>
            </w:r>
          </w:p>
        </w:tc>
        <w:tc>
          <w:tcPr>
            <w:tcW w:type="dxa" w:w="7126"/>
            <w:shd w:fill="00853E" w:val="clear"/>
            <w:tcMar>
              <w:top w:type="dxa" w:w="70"/>
              <w:left w:type="dxa" w:w="110"/>
              <w:bottom w:type="dxa" w:w="70"/>
              <w:right w:type="dxa" w:w="110"/>
            </w:tcMar>
            <w:vAlign w:val="center"/>
          </w:tcPr>
          <w:p>
            <w:r>
              <w:rPr>
                <w:rFonts w:ascii="Arial" w:cs="Arial" w:eastAsia="Arial" w:hAnsi="Arial"/>
                <w:b/>
                <w:bCs/>
                <w:color w:val="FFFFFF"/>
                <w:sz w:val="19"/>
                <w:szCs w:val="19"/>
              </w:rPr>
              <w:t xml:space="preserve">Items prioritaires</w:t>
            </w:r>
          </w:p>
        </w:tc>
      </w:tr>
      <w:tr>
        <w:tc>
          <w:tcPr>
            <w:tcW w:type="dxa" w:w="1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Semaines 1-2</w:t>
            </w:r>
          </w:p>
        </w:tc>
        <w:tc>
          <w:tcPr>
            <w:tcW w:type="dxa" w:w="71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 2, 4, 6, 7, 17 — débloquer ce qui est cassé &amp; mesurer</w:t>
            </w:r>
          </w:p>
        </w:tc>
      </w:tr>
      <w:tr>
        <w:tc>
          <w:tcPr>
            <w:tcW w:type="dxa" w:w="1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Mois 1</w:t>
            </w:r>
          </w:p>
        </w:tc>
        <w:tc>
          <w:tcPr>
            <w:tcW w:type="dxa" w:w="71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#3, 13, 12, 11 (escrow + commission) ; 19, 20 (robustesse)</w:t>
            </w:r>
          </w:p>
        </w:tc>
      </w:tr>
      <w:tr>
        <w:tc>
          <w:tcPr>
            <w:tcW w:type="dxa" w:w="1900"/>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Mois 2-3</w:t>
            </w:r>
          </w:p>
        </w:tc>
        <w:tc>
          <w:tcPr>
            <w:tcW w:type="dxa" w:w="7126"/>
            <w:shd w:fill="FFFFFF" w:val="clear"/>
            <w:tcMar>
              <w:top w:type="dxa" w:w="60"/>
              <w:left w:type="dxa" w:w="110"/>
              <w:bottom w:type="dxa" w:w="60"/>
              <w:right w:type="dxa" w:w="110"/>
            </w:tcMar>
            <w:vAlign w:val="center"/>
          </w:tcPr>
          <w:p>
            <w:pPr>
              <w:spacing w:line="252"/>
            </w:pPr>
            <w:r>
              <w:rPr>
                <w:rFonts w:ascii="Arial" w:cs="Arial" w:eastAsia="Arial" w:hAnsi="Arial"/>
                <w:sz w:val="19"/>
                <w:szCs w:val="19"/>
              </w:rPr>
              <w:t xml:space="preserve">#14, 15, 16, 23 (acheteurs + revenus passifs) ; 22 (anti-burnout)</w:t>
            </w:r>
          </w:p>
        </w:tc>
      </w:tr>
      <w:tr>
        <w:tc>
          <w:tcPr>
            <w:tcW w:type="dxa" w:w="1900"/>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Continu / An 2</w:t>
            </w:r>
          </w:p>
        </w:tc>
        <w:tc>
          <w:tcPr>
            <w:tcW w:type="dxa" w:w="7126"/>
            <w:shd w:fill="F3F6F4" w:val="clear"/>
            <w:tcMar>
              <w:top w:type="dxa" w:w="60"/>
              <w:left w:type="dxa" w:w="110"/>
              <w:bottom w:type="dxa" w:w="60"/>
              <w:right w:type="dxa" w:w="110"/>
            </w:tcMar>
            <w:vAlign w:val="center"/>
          </w:tcPr>
          <w:p>
            <w:pPr>
              <w:spacing w:line="252"/>
            </w:pPr>
            <w:r>
              <w:rPr>
                <w:rFonts w:ascii="Arial" w:cs="Arial" w:eastAsia="Arial" w:hAnsi="Arial"/>
                <w:sz w:val="19"/>
                <w:szCs w:val="19"/>
              </w:rPr>
              <w:t xml:space="preserve">#26, 27 (dette technique) ; 28, 31 (revenus avancés)</w:t>
            </w:r>
          </w:p>
        </w:tc>
      </w:tr>
    </w:tbl>
    <w:tbl>
      <w:tblPr>
        <w:tblW w:type="dxa" w:w="9026"/>
        <w:tblBorders>
          <w:top w:val="single" w:color="E3F2EA" w:sz="1"/>
          <w:left w:val="single" w:color="00853E" w:sz="18"/>
          <w:bottom w:val="single" w:color="E3F2EA" w:sz="1"/>
          <w:right w:val="single" w:color="E3F2EA" w:sz="1"/>
          <w:insideH w:val="single" w:color="auto" w:sz="4"/>
          <w:insideV w:val="single" w:color="auto" w:sz="4"/>
        </w:tblBorders>
      </w:tblPr>
      <w:tblGrid>
        <w:gridCol w:w="9026"/>
      </w:tblGrid>
      <w:tr>
        <w:tc>
          <w:tcPr>
            <w:shd w:fill="E3F2EA" w:val="clear"/>
            <w:tcMar>
              <w:top w:type="dxa" w:w="120"/>
              <w:left w:type="dxa" w:w="200"/>
              <w:bottom w:type="dxa" w:w="120"/>
              <w:right w:type="dxa" w:w="160"/>
            </w:tcMar>
          </w:tcPr>
          <w:p>
            <w:pPr>
              <w:spacing w:after="80"/>
            </w:pPr>
            <w:r>
              <w:rPr>
                <w:rFonts w:ascii="Arial" w:cs="Arial" w:eastAsia="Arial" w:hAnsi="Arial"/>
                <w:b/>
                <w:bCs/>
                <w:color w:val="00853E"/>
                <w:sz w:val="22"/>
                <w:szCs w:val="22"/>
              </w:rPr>
              <w:t xml:space="preserve">Règle d’arbitrage</w:t>
            </w:r>
          </w:p>
          <w:p>
            <w:pPr>
              <w:spacing w:after="60" w:line="264"/>
            </w:pPr>
            <w:r>
              <w:rPr>
                <w:rFonts w:ascii="Arial" w:cs="Arial" w:eastAsia="Arial" w:hAnsi="Arial"/>
                <w:sz w:val="21"/>
                <w:szCs w:val="21"/>
              </w:rPr>
              <w:t xml:space="preserve">Toujours préférer un item « Impact élevé / effort faible » à un item « Impact moyen / effort élevé ». Les 3 décisions existentielles (§3) priment sur toute nouvelle fonctionnalité de confort.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B7280"/>
        <w:sz w:val="15"/>
        <w:szCs w:val="15"/>
      </w:rPr>
      <w:t xml:space="preserve">CONFIDENTIEL — USAGE INTERNE</w:t>
    </w:r>
    <w:r>
      <w:rPr>
        <w:rFonts w:ascii="Arial" w:cs="Arial" w:eastAsia="Arial" w:hAnsi="Arial"/>
        <w:color w:val="6B7280"/>
        <w:sz w:val="15"/>
        <w:szCs w:val="15"/>
      </w:rPr>
      <w:t xml:space="preserve">	Page </w:t>
    </w:r>
    <w:r>
      <w:rPr>
        <w:rFonts w:ascii="Arial" w:cs="Arial" w:eastAsia="Arial" w:hAnsi="Arial"/>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53E" w:sz="4" w:space="4"/>
      </w:pBdr>
    </w:pPr>
    <w:r>
      <w:rPr>
        <w:rFonts w:ascii="Arial" w:cs="Arial" w:eastAsia="Arial" w:hAnsi="Arial"/>
        <w:color w:val="6B7280"/>
        <w:sz w:val="15"/>
        <w:szCs w:val="15"/>
      </w:rPr>
      <w:t xml:space="preserve">NEXUS MARKET — Business Plan 2025-2027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00853E"/>
      </w:r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853E"/>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2937"/>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0085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NEXUS Market 2025-2027 v3</dc:title>
  <dc:creator>NEXUS Market</dc:creator>
  <cp:lastModifiedBy>Un-named</cp:lastModifiedBy>
  <cp:revision>1</cp:revision>
  <dcterms:created xsi:type="dcterms:W3CDTF">2026-06-07T18:16:36.369Z</dcterms:created>
  <dcterms:modified xsi:type="dcterms:W3CDTF">2026-06-07T18:16:36.378Z</dcterms:modified>
</cp:coreProperties>
</file>

<file path=docProps/custom.xml><?xml version="1.0" encoding="utf-8"?>
<Properties xmlns="http://schemas.openxmlformats.org/officeDocument/2006/custom-properties" xmlns:vt="http://schemas.openxmlformats.org/officeDocument/2006/docPropsVTypes"/>
</file>