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4D54E" w14:textId="77777777" w:rsidR="009D64A0" w:rsidRDefault="009D64A0" w:rsidP="0056119E">
      <w:pPr>
        <w:spacing w:before="100" w:after="100" w:line="240" w:lineRule="auto"/>
        <w:outlineLvl w:val="0"/>
        <w:rPr>
          <w:rFonts w:eastAsia="Times New Roman" w:cs="Calibri"/>
          <w:b/>
          <w:bCs/>
          <w:sz w:val="36"/>
          <w:szCs w:val="36"/>
          <w:lang w:eastAsia="fr-FR"/>
        </w:rPr>
      </w:pPr>
    </w:p>
    <w:p w14:paraId="51D7FD9B" w14:textId="77777777" w:rsidR="009D64A0" w:rsidRDefault="009D64A0" w:rsidP="009D64A0">
      <w:pPr>
        <w:spacing w:before="100" w:after="100" w:line="240" w:lineRule="auto"/>
        <w:jc w:val="center"/>
        <w:outlineLvl w:val="0"/>
        <w:rPr>
          <w:rFonts w:eastAsia="Times New Roman" w:cs="Calibri"/>
          <w:b/>
          <w:bCs/>
          <w:sz w:val="36"/>
          <w:szCs w:val="36"/>
          <w:lang w:eastAsia="fr-FR"/>
        </w:rPr>
      </w:pPr>
    </w:p>
    <w:p w14:paraId="346362E6" w14:textId="689ADBE5" w:rsidR="009D64A0" w:rsidRDefault="009D64A0" w:rsidP="0056119E">
      <w:pPr>
        <w:spacing w:before="100" w:after="100" w:line="240" w:lineRule="auto"/>
        <w:jc w:val="center"/>
        <w:outlineLvl w:val="0"/>
        <w:rPr>
          <w:rFonts w:eastAsia="Times New Roman" w:cs="Calibri"/>
          <w:b/>
          <w:bCs/>
          <w:sz w:val="36"/>
          <w:szCs w:val="36"/>
          <w:lang w:eastAsia="fr-FR"/>
        </w:rPr>
      </w:pPr>
      <w:r>
        <w:rPr>
          <w:rFonts w:eastAsia="Times New Roman" w:cs="Calibri"/>
          <w:b/>
          <w:bCs/>
          <w:sz w:val="36"/>
          <w:szCs w:val="36"/>
          <w:lang w:eastAsia="fr-FR"/>
        </w:rPr>
        <w:t>Point de situation du Déploiement de la solution Tansik</w:t>
      </w:r>
    </w:p>
    <w:p w14:paraId="3C8C0D5C" w14:textId="7ED79351" w:rsidR="009D64A0" w:rsidRDefault="009D64A0" w:rsidP="0056119E">
      <w:pPr>
        <w:spacing w:before="100" w:after="100" w:line="240" w:lineRule="auto"/>
        <w:jc w:val="center"/>
        <w:outlineLvl w:val="0"/>
        <w:rPr>
          <w:rFonts w:eastAsia="Times New Roman" w:cs="Calibri"/>
          <w:b/>
          <w:bCs/>
          <w:sz w:val="36"/>
          <w:szCs w:val="36"/>
          <w:lang w:eastAsia="fr-FR"/>
        </w:rPr>
      </w:pPr>
      <w:r>
        <w:rPr>
          <w:rFonts w:eastAsia="Times New Roman" w:cs="Calibri"/>
          <w:b/>
          <w:bCs/>
          <w:sz w:val="36"/>
          <w:szCs w:val="36"/>
          <w:lang w:eastAsia="fr-FR"/>
        </w:rPr>
        <w:t>« Post-correction de l’arborescence »</w:t>
      </w:r>
    </w:p>
    <w:p w14:paraId="579D6506" w14:textId="77777777" w:rsidR="009D64A0" w:rsidRDefault="009D64A0" w:rsidP="009D64A0">
      <w:pPr>
        <w:spacing w:before="100" w:after="100" w:line="360" w:lineRule="auto"/>
        <w:jc w:val="both"/>
        <w:outlineLvl w:val="0"/>
        <w:rPr>
          <w:rFonts w:eastAsia="Times New Roman" w:cs="Calibri"/>
          <w:sz w:val="28"/>
          <w:szCs w:val="28"/>
          <w:lang w:eastAsia="fr-FR"/>
        </w:rPr>
      </w:pPr>
    </w:p>
    <w:p w14:paraId="22E6DE95" w14:textId="09C4F687" w:rsidR="00850F4B" w:rsidRDefault="009D64A0" w:rsidP="009D64A0">
      <w:pPr>
        <w:spacing w:before="100" w:after="100" w:line="360" w:lineRule="auto"/>
        <w:jc w:val="both"/>
        <w:outlineLvl w:val="0"/>
        <w:rPr>
          <w:rFonts w:eastAsia="Times New Roman" w:cs="Calibri"/>
          <w:sz w:val="28"/>
          <w:szCs w:val="28"/>
          <w:lang w:eastAsia="fr-FR"/>
        </w:rPr>
      </w:pPr>
      <w:r>
        <w:rPr>
          <w:rFonts w:eastAsia="Times New Roman" w:cs="Calibri"/>
          <w:sz w:val="28"/>
          <w:szCs w:val="28"/>
          <w:lang w:eastAsia="fr-FR"/>
        </w:rPr>
        <w:t xml:space="preserve">    </w:t>
      </w:r>
      <w:r w:rsidR="00850F4B">
        <w:rPr>
          <w:rFonts w:eastAsia="Times New Roman" w:cs="Calibri"/>
          <w:sz w:val="28"/>
          <w:szCs w:val="28"/>
          <w:lang w:eastAsia="fr-FR"/>
        </w:rPr>
        <w:t xml:space="preserve">Suite aux travaux du dernier atelier organisé au niveau du siège des services du Médiateur de la République, </w:t>
      </w:r>
      <w:r w:rsidR="00EA3D91">
        <w:rPr>
          <w:rFonts w:eastAsia="Times New Roman" w:cs="Calibri"/>
          <w:sz w:val="28"/>
          <w:szCs w:val="28"/>
          <w:lang w:eastAsia="fr-FR"/>
        </w:rPr>
        <w:t>portant sur</w:t>
      </w:r>
      <w:r w:rsidR="00850F4B">
        <w:rPr>
          <w:rFonts w:eastAsia="Times New Roman" w:cs="Calibri"/>
          <w:sz w:val="28"/>
          <w:szCs w:val="28"/>
          <w:lang w:eastAsia="fr-FR"/>
        </w:rPr>
        <w:t xml:space="preserve"> la prise en charge de l’anomalie détectée sur la présentation de l’arborescence des postes comptables à superviser par le point focal de la DGTGCOFE, </w:t>
      </w:r>
      <w:r w:rsidR="00D2255C">
        <w:rPr>
          <w:rFonts w:eastAsia="Times New Roman" w:cs="Calibri"/>
          <w:sz w:val="28"/>
          <w:szCs w:val="28"/>
          <w:lang w:eastAsia="fr-FR"/>
        </w:rPr>
        <w:t>ainsi que par les</w:t>
      </w:r>
      <w:r w:rsidR="00850F4B">
        <w:rPr>
          <w:rFonts w:eastAsia="Times New Roman" w:cs="Calibri"/>
          <w:sz w:val="28"/>
          <w:szCs w:val="28"/>
          <w:lang w:eastAsia="fr-FR"/>
        </w:rPr>
        <w:t xml:space="preserve"> points focaux des services externes respectivement, à savoir les DTR, les TW et les TC, un audit sur le bon déroulement de l</w:t>
      </w:r>
      <w:r w:rsidR="00EF7803">
        <w:rPr>
          <w:rFonts w:eastAsia="Times New Roman" w:cs="Calibri"/>
          <w:sz w:val="28"/>
          <w:szCs w:val="28"/>
          <w:lang w:eastAsia="fr-FR"/>
        </w:rPr>
        <w:t>a correction</w:t>
      </w:r>
      <w:r w:rsidR="00850F4B">
        <w:rPr>
          <w:rFonts w:eastAsia="Times New Roman" w:cs="Calibri"/>
          <w:sz w:val="28"/>
          <w:szCs w:val="28"/>
          <w:lang w:eastAsia="fr-FR"/>
        </w:rPr>
        <w:t xml:space="preserve"> a été effectué par l’équipe informatique du point focale de la DGTGCOFE.</w:t>
      </w:r>
    </w:p>
    <w:p w14:paraId="78760B3C" w14:textId="77777777" w:rsidR="00850F4B" w:rsidRDefault="00850F4B" w:rsidP="009D64A0">
      <w:pPr>
        <w:spacing w:before="100" w:after="100" w:line="360" w:lineRule="auto"/>
        <w:jc w:val="both"/>
        <w:outlineLvl w:val="0"/>
        <w:rPr>
          <w:rFonts w:eastAsia="Times New Roman" w:cs="Calibri"/>
          <w:sz w:val="28"/>
          <w:szCs w:val="28"/>
          <w:lang w:eastAsia="fr-FR"/>
        </w:rPr>
      </w:pPr>
    </w:p>
    <w:p w14:paraId="115817AB" w14:textId="17F2DD53" w:rsidR="006541D0" w:rsidRDefault="009D64A0" w:rsidP="0056119E">
      <w:pPr>
        <w:spacing w:before="100" w:after="100" w:line="360" w:lineRule="auto"/>
        <w:jc w:val="both"/>
        <w:outlineLvl w:val="0"/>
        <w:rPr>
          <w:rFonts w:cs="Calibri"/>
          <w:sz w:val="28"/>
          <w:szCs w:val="28"/>
        </w:rPr>
      </w:pPr>
      <w:r>
        <w:rPr>
          <w:rFonts w:cs="Calibri"/>
          <w:sz w:val="28"/>
          <w:szCs w:val="28"/>
        </w:rPr>
        <w:t xml:space="preserve">   L</w:t>
      </w:r>
      <w:r w:rsidR="00850F4B">
        <w:rPr>
          <w:rFonts w:cs="Calibri"/>
          <w:sz w:val="28"/>
          <w:szCs w:val="28"/>
        </w:rPr>
        <w:t xml:space="preserve">’audit a été </w:t>
      </w:r>
      <w:r w:rsidR="00D2255C">
        <w:rPr>
          <w:rFonts w:cs="Calibri"/>
          <w:sz w:val="28"/>
          <w:szCs w:val="28"/>
        </w:rPr>
        <w:t>réalisé</w:t>
      </w:r>
      <w:r w:rsidR="00850F4B">
        <w:rPr>
          <w:rFonts w:cs="Calibri"/>
          <w:sz w:val="28"/>
          <w:szCs w:val="28"/>
        </w:rPr>
        <w:t xml:space="preserve"> sur l’ensemble des treize (13) Directions Régionaux du Trésor (DRT), </w:t>
      </w:r>
      <w:r w:rsidR="00D2255C" w:rsidRPr="00D2255C">
        <w:rPr>
          <w:rFonts w:cs="Calibri"/>
          <w:sz w:val="28"/>
          <w:szCs w:val="28"/>
        </w:rPr>
        <w:t>e</w:t>
      </w:r>
      <w:r w:rsidR="00D2255C" w:rsidRPr="00D2255C">
        <w:rPr>
          <w:sz w:val="28"/>
          <w:szCs w:val="28"/>
        </w:rPr>
        <w:t>n effet, plusieurs constats ont été relevés concernant l'échelle des points, comme détaillé ci-</w:t>
      </w:r>
      <w:r w:rsidR="00234C38" w:rsidRPr="00D2255C">
        <w:rPr>
          <w:sz w:val="28"/>
          <w:szCs w:val="28"/>
        </w:rPr>
        <w:t>dessous</w:t>
      </w:r>
      <w:r w:rsidR="00234C38" w:rsidRPr="00D2255C">
        <w:rPr>
          <w:rFonts w:cs="Calibri"/>
          <w:sz w:val="28"/>
          <w:szCs w:val="28"/>
        </w:rPr>
        <w:t xml:space="preserve"> :</w:t>
      </w:r>
      <w:r w:rsidRPr="00D2255C">
        <w:rPr>
          <w:rFonts w:cs="Calibri"/>
          <w:sz w:val="28"/>
          <w:szCs w:val="28"/>
        </w:rPr>
        <w:t xml:space="preserve"> </w:t>
      </w:r>
    </w:p>
    <w:p w14:paraId="7AD43ABD" w14:textId="1D196C8A" w:rsidR="006541D0" w:rsidRDefault="009A1892" w:rsidP="00495825">
      <w:pPr>
        <w:pStyle w:val="Paragraphedeliste"/>
        <w:numPr>
          <w:ilvl w:val="0"/>
          <w:numId w:val="12"/>
        </w:numPr>
        <w:spacing w:before="100" w:after="100" w:line="360" w:lineRule="auto"/>
        <w:jc w:val="both"/>
        <w:outlineLvl w:val="0"/>
        <w:rPr>
          <w:rFonts w:cs="Calibri"/>
          <w:b/>
          <w:bCs/>
          <w:sz w:val="28"/>
          <w:szCs w:val="28"/>
        </w:rPr>
      </w:pPr>
      <w:r w:rsidRPr="00495825">
        <w:rPr>
          <w:rFonts w:cs="Calibri"/>
          <w:b/>
          <w:bCs/>
          <w:sz w:val="28"/>
          <w:szCs w:val="28"/>
        </w:rPr>
        <w:t>La</w:t>
      </w:r>
      <w:r w:rsidR="006541D0" w:rsidRPr="00495825">
        <w:rPr>
          <w:rFonts w:cs="Calibri"/>
          <w:b/>
          <w:bCs/>
          <w:sz w:val="28"/>
          <w:szCs w:val="28"/>
        </w:rPr>
        <w:t xml:space="preserve"> visibilité de l’arborescence attendu :</w:t>
      </w:r>
    </w:p>
    <w:p w14:paraId="41110878" w14:textId="77777777" w:rsidR="00495825" w:rsidRPr="00495825" w:rsidRDefault="00495825" w:rsidP="00495825">
      <w:pPr>
        <w:pStyle w:val="Paragraphedeliste"/>
        <w:spacing w:before="100" w:after="100" w:line="360" w:lineRule="auto"/>
        <w:jc w:val="both"/>
        <w:outlineLvl w:val="0"/>
        <w:rPr>
          <w:rFonts w:cs="Calibri"/>
          <w:b/>
          <w:bCs/>
          <w:sz w:val="28"/>
          <w:szCs w:val="28"/>
        </w:rPr>
      </w:pPr>
    </w:p>
    <w:p w14:paraId="2E0A84A4" w14:textId="4425264C" w:rsidR="006541D0" w:rsidRDefault="006541D0" w:rsidP="006541D0">
      <w:pPr>
        <w:pStyle w:val="Paragraphedeliste"/>
        <w:numPr>
          <w:ilvl w:val="0"/>
          <w:numId w:val="8"/>
        </w:numPr>
        <w:spacing w:before="100" w:after="100" w:line="360" w:lineRule="auto"/>
        <w:jc w:val="both"/>
        <w:outlineLvl w:val="0"/>
        <w:rPr>
          <w:rFonts w:cs="Calibri"/>
          <w:sz w:val="28"/>
          <w:szCs w:val="28"/>
        </w:rPr>
      </w:pPr>
      <w:r>
        <w:rPr>
          <w:rFonts w:cs="Calibri"/>
          <w:sz w:val="28"/>
          <w:szCs w:val="28"/>
        </w:rPr>
        <w:t xml:space="preserve">La </w:t>
      </w:r>
      <w:r w:rsidR="009A1892">
        <w:rPr>
          <w:rFonts w:cs="Calibri"/>
          <w:sz w:val="28"/>
          <w:szCs w:val="28"/>
        </w:rPr>
        <w:t>visibilité</w:t>
      </w:r>
      <w:r>
        <w:rPr>
          <w:rFonts w:cs="Calibri"/>
          <w:sz w:val="28"/>
          <w:szCs w:val="28"/>
        </w:rPr>
        <w:t xml:space="preserve"> de la liste des postes à supervisés a été pris en charge pour </w:t>
      </w:r>
      <w:r w:rsidR="009A1892">
        <w:rPr>
          <w:rFonts w:cs="Calibri"/>
          <w:sz w:val="28"/>
          <w:szCs w:val="28"/>
        </w:rPr>
        <w:t>la totalité</w:t>
      </w:r>
      <w:r>
        <w:rPr>
          <w:rFonts w:cs="Calibri"/>
          <w:sz w:val="28"/>
          <w:szCs w:val="28"/>
        </w:rPr>
        <w:t xml:space="preserve"> des treize DRT, d’où ces derniers arrive</w:t>
      </w:r>
      <w:r w:rsidR="003739F9">
        <w:rPr>
          <w:rFonts w:cs="Calibri"/>
          <w:sz w:val="28"/>
          <w:szCs w:val="28"/>
        </w:rPr>
        <w:t>nt</w:t>
      </w:r>
      <w:r>
        <w:rPr>
          <w:rFonts w:cs="Calibri"/>
          <w:sz w:val="28"/>
          <w:szCs w:val="28"/>
        </w:rPr>
        <w:t xml:space="preserve"> à visualiser dans leur compte de superviseur :  leurs comptes de supervision, l’ensembles des Trésoreries de wilaya (TW) rattachés, ainsi que les TC et les TEPS rattaché à chaque tw</w:t>
      </w:r>
      <w:r w:rsidR="00143884">
        <w:rPr>
          <w:rFonts w:cs="Calibri"/>
          <w:sz w:val="28"/>
          <w:szCs w:val="28"/>
        </w:rPr>
        <w:t xml:space="preserve"> </w:t>
      </w:r>
      <w:r>
        <w:rPr>
          <w:rFonts w:cs="Calibri"/>
          <w:sz w:val="28"/>
          <w:szCs w:val="28"/>
        </w:rPr>
        <w:t xml:space="preserve">(chaque tw affiche une sous liste des </w:t>
      </w:r>
      <w:r w:rsidR="009A1892">
        <w:rPr>
          <w:rFonts w:cs="Calibri"/>
          <w:sz w:val="28"/>
          <w:szCs w:val="28"/>
        </w:rPr>
        <w:t>TC</w:t>
      </w:r>
      <w:r>
        <w:rPr>
          <w:rFonts w:cs="Calibri"/>
          <w:sz w:val="28"/>
          <w:szCs w:val="28"/>
        </w:rPr>
        <w:t xml:space="preserve"> et TEPS qui lui est appartient).</w:t>
      </w:r>
    </w:p>
    <w:p w14:paraId="5CEDD246" w14:textId="77777777" w:rsidR="009A1892" w:rsidRDefault="009A1892" w:rsidP="009A1892">
      <w:pPr>
        <w:pStyle w:val="Paragraphedeliste"/>
        <w:spacing w:before="100" w:after="100" w:line="360" w:lineRule="auto"/>
        <w:jc w:val="both"/>
        <w:outlineLvl w:val="0"/>
        <w:rPr>
          <w:rFonts w:cs="Calibri"/>
          <w:sz w:val="28"/>
          <w:szCs w:val="28"/>
        </w:rPr>
      </w:pPr>
    </w:p>
    <w:p w14:paraId="2FC8B6D2" w14:textId="4D41C807" w:rsidR="0009010C" w:rsidRDefault="009A1892" w:rsidP="006541D0">
      <w:pPr>
        <w:pStyle w:val="Paragraphedeliste"/>
        <w:numPr>
          <w:ilvl w:val="0"/>
          <w:numId w:val="8"/>
        </w:numPr>
        <w:spacing w:before="100" w:after="100" w:line="360" w:lineRule="auto"/>
        <w:jc w:val="both"/>
        <w:outlineLvl w:val="0"/>
        <w:rPr>
          <w:rFonts w:cs="Calibri"/>
          <w:sz w:val="28"/>
          <w:szCs w:val="28"/>
        </w:rPr>
      </w:pPr>
      <w:r>
        <w:rPr>
          <w:rFonts w:cs="Calibri"/>
          <w:sz w:val="28"/>
          <w:szCs w:val="28"/>
        </w:rPr>
        <w:lastRenderedPageBreak/>
        <w:t xml:space="preserve">A l’exception, la DRT de </w:t>
      </w:r>
      <w:r w:rsidR="00FC0DAC">
        <w:rPr>
          <w:rFonts w:cs="Calibri"/>
          <w:sz w:val="28"/>
          <w:szCs w:val="28"/>
        </w:rPr>
        <w:t>B</w:t>
      </w:r>
      <w:r>
        <w:rPr>
          <w:rFonts w:cs="Calibri"/>
          <w:sz w:val="28"/>
          <w:szCs w:val="28"/>
        </w:rPr>
        <w:t>iskra qui a transmis par mail une liste des TC qu</w:t>
      </w:r>
      <w:r w:rsidR="003739F9">
        <w:rPr>
          <w:rFonts w:cs="Calibri"/>
          <w:sz w:val="28"/>
          <w:szCs w:val="28"/>
        </w:rPr>
        <w:t xml:space="preserve">i </w:t>
      </w:r>
      <w:r>
        <w:rPr>
          <w:rFonts w:cs="Calibri"/>
          <w:sz w:val="28"/>
          <w:szCs w:val="28"/>
        </w:rPr>
        <w:t xml:space="preserve">ne sont pas visible dans </w:t>
      </w:r>
      <w:r w:rsidR="004544D3">
        <w:rPr>
          <w:rFonts w:cs="Calibri"/>
          <w:sz w:val="28"/>
          <w:szCs w:val="28"/>
        </w:rPr>
        <w:t xml:space="preserve">son </w:t>
      </w:r>
      <w:r>
        <w:rPr>
          <w:rFonts w:cs="Calibri"/>
          <w:sz w:val="28"/>
          <w:szCs w:val="28"/>
        </w:rPr>
        <w:t xml:space="preserve">arborescence, </w:t>
      </w:r>
      <w:r w:rsidR="0009010C">
        <w:rPr>
          <w:rFonts w:cs="Calibri"/>
          <w:sz w:val="28"/>
          <w:szCs w:val="28"/>
        </w:rPr>
        <w:t xml:space="preserve">en effet, et après </w:t>
      </w:r>
      <w:r w:rsidR="00911182">
        <w:rPr>
          <w:rFonts w:cs="Calibri"/>
          <w:sz w:val="28"/>
          <w:szCs w:val="28"/>
        </w:rPr>
        <w:t>vérification dans</w:t>
      </w:r>
      <w:r w:rsidR="0009010C">
        <w:rPr>
          <w:rFonts w:cs="Calibri"/>
          <w:sz w:val="28"/>
          <w:szCs w:val="28"/>
        </w:rPr>
        <w:t xml:space="preserve"> l’arborescence du point focal de la DGTGCOFE, il a été constaté que la TC de Oum </w:t>
      </w:r>
      <w:proofErr w:type="spellStart"/>
      <w:r w:rsidR="0009010C">
        <w:rPr>
          <w:rFonts w:cs="Calibri"/>
          <w:sz w:val="28"/>
          <w:szCs w:val="28"/>
        </w:rPr>
        <w:t>thiour</w:t>
      </w:r>
      <w:proofErr w:type="spellEnd"/>
      <w:r w:rsidR="0009010C">
        <w:rPr>
          <w:rFonts w:cs="Calibri"/>
          <w:sz w:val="28"/>
          <w:szCs w:val="28"/>
        </w:rPr>
        <w:t xml:space="preserve"> ne figure pas dans la liste, et la TC Djamaa a été déplacé et elle figure dans la liste d’</w:t>
      </w:r>
      <w:proofErr w:type="spellStart"/>
      <w:r w:rsidR="0009010C">
        <w:rPr>
          <w:rFonts w:cs="Calibri"/>
          <w:sz w:val="28"/>
          <w:szCs w:val="28"/>
        </w:rPr>
        <w:t>eloued</w:t>
      </w:r>
      <w:proofErr w:type="spellEnd"/>
      <w:r w:rsidR="0009010C">
        <w:rPr>
          <w:rFonts w:cs="Calibri"/>
          <w:sz w:val="28"/>
          <w:szCs w:val="28"/>
        </w:rPr>
        <w:t>.</w:t>
      </w:r>
    </w:p>
    <w:p w14:paraId="421A5348" w14:textId="77777777" w:rsidR="0009010C" w:rsidRPr="0009010C" w:rsidRDefault="0009010C" w:rsidP="0009010C">
      <w:pPr>
        <w:pStyle w:val="Paragraphedeliste"/>
        <w:rPr>
          <w:rFonts w:cs="Calibri"/>
          <w:sz w:val="28"/>
          <w:szCs w:val="28"/>
        </w:rPr>
      </w:pPr>
    </w:p>
    <w:p w14:paraId="4E324CEB" w14:textId="5C9E26D8" w:rsidR="006541D0" w:rsidRPr="004E6CD2" w:rsidRDefault="0009010C" w:rsidP="006541D0">
      <w:pPr>
        <w:pStyle w:val="Paragraphedeliste"/>
        <w:numPr>
          <w:ilvl w:val="0"/>
          <w:numId w:val="8"/>
        </w:numPr>
        <w:spacing w:before="100" w:after="100" w:line="360" w:lineRule="auto"/>
        <w:jc w:val="both"/>
        <w:outlineLvl w:val="0"/>
        <w:rPr>
          <w:rFonts w:cs="Calibri"/>
          <w:sz w:val="28"/>
          <w:szCs w:val="28"/>
        </w:rPr>
      </w:pPr>
      <w:r>
        <w:rPr>
          <w:rFonts w:cs="Calibri"/>
          <w:sz w:val="28"/>
          <w:szCs w:val="28"/>
        </w:rPr>
        <w:t>L</w:t>
      </w:r>
      <w:r w:rsidR="00143884">
        <w:rPr>
          <w:rFonts w:cs="Calibri"/>
          <w:sz w:val="28"/>
          <w:szCs w:val="28"/>
        </w:rPr>
        <w:t xml:space="preserve">’erreur et l’absence détecté au niveau de la DRT de Biskra nous mène ver une vérification des 627 trésoreries communales et TEPS, afin d’assurer une </w:t>
      </w:r>
      <w:r w:rsidR="00143884" w:rsidRPr="004E6CD2">
        <w:rPr>
          <w:rFonts w:cs="Calibri"/>
          <w:sz w:val="28"/>
          <w:szCs w:val="28"/>
        </w:rPr>
        <w:t xml:space="preserve">organisation complète et correcte de </w:t>
      </w:r>
      <w:proofErr w:type="gramStart"/>
      <w:r w:rsidR="00143884" w:rsidRPr="004E6CD2">
        <w:rPr>
          <w:rFonts w:cs="Calibri"/>
          <w:sz w:val="28"/>
          <w:szCs w:val="28"/>
        </w:rPr>
        <w:t>toute les entités</w:t>
      </w:r>
      <w:proofErr w:type="gramEnd"/>
      <w:r w:rsidR="00143884" w:rsidRPr="004E6CD2">
        <w:rPr>
          <w:rFonts w:cs="Calibri"/>
          <w:sz w:val="28"/>
          <w:szCs w:val="28"/>
        </w:rPr>
        <w:t>.</w:t>
      </w:r>
    </w:p>
    <w:p w14:paraId="0D854D25" w14:textId="77777777" w:rsidR="009A1892" w:rsidRPr="004E6CD2" w:rsidRDefault="009A1892" w:rsidP="009A1892">
      <w:pPr>
        <w:pStyle w:val="Paragraphedeliste"/>
        <w:rPr>
          <w:rFonts w:cs="Calibri"/>
          <w:sz w:val="28"/>
          <w:szCs w:val="28"/>
        </w:rPr>
      </w:pPr>
    </w:p>
    <w:p w14:paraId="4F0BD20B" w14:textId="1D65F728" w:rsidR="004D62C6" w:rsidRPr="004E6CD2" w:rsidRDefault="00FC0DAC" w:rsidP="0056119E">
      <w:pPr>
        <w:pStyle w:val="Paragraphedeliste"/>
        <w:numPr>
          <w:ilvl w:val="0"/>
          <w:numId w:val="8"/>
        </w:numPr>
        <w:spacing w:before="100" w:after="100" w:line="360" w:lineRule="auto"/>
        <w:jc w:val="both"/>
        <w:outlineLvl w:val="0"/>
        <w:rPr>
          <w:rFonts w:cs="Calibri"/>
          <w:sz w:val="28"/>
          <w:szCs w:val="28"/>
        </w:rPr>
      </w:pPr>
      <w:r w:rsidRPr="004E6CD2">
        <w:rPr>
          <w:rFonts w:cs="Calibri"/>
          <w:sz w:val="28"/>
          <w:szCs w:val="28"/>
        </w:rPr>
        <w:t>La visibilité de l’arborescence du compte superviseur du point focal de la DGTGCOFE a été pris en charge</w:t>
      </w:r>
      <w:r w:rsidR="00937E00" w:rsidRPr="004E6CD2">
        <w:rPr>
          <w:rFonts w:cs="Calibri"/>
          <w:sz w:val="28"/>
          <w:szCs w:val="28"/>
        </w:rPr>
        <w:t>,</w:t>
      </w:r>
      <w:r w:rsidRPr="004E6CD2">
        <w:rPr>
          <w:rFonts w:cs="Calibri"/>
          <w:sz w:val="28"/>
          <w:szCs w:val="28"/>
        </w:rPr>
        <w:t xml:space="preserve"> ou les 699 entités figurent dans la liste déroulante, mais selon un autre ordre qui est différent de l’organisation expliquée dans le rapport d’anomalie envoyé au service du Médiateur, en effet, l’organisation corrigée actuellement donne accès de supervision pour tout l’ensemble, mais l’affichage est fait pour 58 postes comptables, y compris leurs DRT d’origine</w:t>
      </w:r>
      <w:r w:rsidR="008269D9" w:rsidRPr="004E6CD2">
        <w:rPr>
          <w:rFonts w:cs="Calibri"/>
          <w:sz w:val="28"/>
          <w:szCs w:val="28"/>
        </w:rPr>
        <w:t>s</w:t>
      </w:r>
      <w:r w:rsidRPr="004E6CD2">
        <w:rPr>
          <w:rFonts w:cs="Calibri"/>
          <w:sz w:val="28"/>
          <w:szCs w:val="28"/>
        </w:rPr>
        <w:t xml:space="preserve">, </w:t>
      </w:r>
      <w:r w:rsidR="00495825" w:rsidRPr="004E6CD2">
        <w:rPr>
          <w:rFonts w:cs="Calibri"/>
          <w:sz w:val="28"/>
          <w:szCs w:val="28"/>
        </w:rPr>
        <w:t>la cause de cette mise en disposition été faite pour donner la possibilité au service du Médiateur, ainsi que Monsieur le Wali d’être un point focal de supervision de nos entités</w:t>
      </w:r>
      <w:r w:rsidR="008269D9" w:rsidRPr="004E6CD2">
        <w:rPr>
          <w:rFonts w:cs="Calibri"/>
          <w:sz w:val="28"/>
          <w:szCs w:val="28"/>
        </w:rPr>
        <w:t xml:space="preserve"> ( Le médiateur ma expliqué ça verbalement)</w:t>
      </w:r>
      <w:r w:rsidR="00495825" w:rsidRPr="004E6CD2">
        <w:rPr>
          <w:rFonts w:cs="Calibri"/>
          <w:sz w:val="28"/>
          <w:szCs w:val="28"/>
        </w:rPr>
        <w:t>.</w:t>
      </w:r>
    </w:p>
    <w:p w14:paraId="49A8D70A" w14:textId="2E19B175" w:rsidR="009A1892" w:rsidRPr="004E6CD2" w:rsidRDefault="009A1892" w:rsidP="004D62C6">
      <w:pPr>
        <w:pStyle w:val="Paragraphedeliste"/>
        <w:numPr>
          <w:ilvl w:val="0"/>
          <w:numId w:val="12"/>
        </w:numPr>
        <w:spacing w:before="100" w:after="100" w:line="360" w:lineRule="auto"/>
        <w:jc w:val="both"/>
        <w:outlineLvl w:val="0"/>
        <w:rPr>
          <w:rFonts w:cs="Calibri"/>
          <w:b/>
          <w:bCs/>
          <w:sz w:val="28"/>
          <w:szCs w:val="28"/>
        </w:rPr>
      </w:pPr>
      <w:r w:rsidRPr="004E6CD2">
        <w:rPr>
          <w:rFonts w:cs="Calibri"/>
          <w:b/>
          <w:bCs/>
          <w:sz w:val="28"/>
          <w:szCs w:val="28"/>
        </w:rPr>
        <w:t xml:space="preserve">Réception des comptes </w:t>
      </w:r>
      <w:r w:rsidR="00074C8A" w:rsidRPr="004E6CD2">
        <w:rPr>
          <w:rFonts w:cs="Calibri"/>
          <w:b/>
          <w:bCs/>
          <w:sz w:val="28"/>
          <w:szCs w:val="28"/>
        </w:rPr>
        <w:t>superviseurs :</w:t>
      </w:r>
    </w:p>
    <w:p w14:paraId="7C084DF6" w14:textId="77777777" w:rsidR="0056119E" w:rsidRPr="004D62C6" w:rsidRDefault="0056119E" w:rsidP="0056119E">
      <w:pPr>
        <w:pStyle w:val="Paragraphedeliste"/>
        <w:spacing w:before="100" w:after="100" w:line="360" w:lineRule="auto"/>
        <w:jc w:val="both"/>
        <w:outlineLvl w:val="0"/>
        <w:rPr>
          <w:rFonts w:cs="Calibri"/>
          <w:b/>
          <w:bCs/>
          <w:sz w:val="28"/>
          <w:szCs w:val="28"/>
        </w:rPr>
      </w:pPr>
    </w:p>
    <w:p w14:paraId="1239D00C" w14:textId="2A451F78" w:rsidR="009A1892" w:rsidRDefault="009A1892" w:rsidP="009A1892">
      <w:pPr>
        <w:pStyle w:val="Paragraphedeliste"/>
        <w:numPr>
          <w:ilvl w:val="0"/>
          <w:numId w:val="9"/>
        </w:numPr>
        <w:spacing w:before="100" w:after="100" w:line="360" w:lineRule="auto"/>
        <w:jc w:val="both"/>
        <w:outlineLvl w:val="0"/>
        <w:rPr>
          <w:rFonts w:cs="Calibri"/>
          <w:sz w:val="28"/>
          <w:szCs w:val="28"/>
        </w:rPr>
      </w:pPr>
      <w:r>
        <w:rPr>
          <w:rFonts w:cs="Calibri"/>
          <w:sz w:val="28"/>
          <w:szCs w:val="28"/>
        </w:rPr>
        <w:t>La réception des comptes</w:t>
      </w:r>
      <w:r w:rsidR="00074C8A">
        <w:rPr>
          <w:rFonts w:cs="Calibri"/>
          <w:sz w:val="28"/>
          <w:szCs w:val="28"/>
        </w:rPr>
        <w:t xml:space="preserve"> utilisateurs</w:t>
      </w:r>
      <w:r w:rsidR="004D62C6">
        <w:rPr>
          <w:rFonts w:cs="Calibri"/>
          <w:sz w:val="28"/>
          <w:szCs w:val="28"/>
        </w:rPr>
        <w:t xml:space="preserve"> de la solution Tansik</w:t>
      </w:r>
      <w:r w:rsidR="00074C8A">
        <w:rPr>
          <w:rFonts w:cs="Calibri"/>
          <w:sz w:val="28"/>
          <w:szCs w:val="28"/>
        </w:rPr>
        <w:t xml:space="preserve">, à savoir gestionnaires et </w:t>
      </w:r>
      <w:r>
        <w:rPr>
          <w:rFonts w:cs="Calibri"/>
          <w:sz w:val="28"/>
          <w:szCs w:val="28"/>
        </w:rPr>
        <w:t xml:space="preserve">superviseurs </w:t>
      </w:r>
      <w:r w:rsidR="00537BF1">
        <w:rPr>
          <w:rFonts w:cs="Calibri"/>
          <w:sz w:val="28"/>
          <w:szCs w:val="28"/>
        </w:rPr>
        <w:t>pour chaque</w:t>
      </w:r>
      <w:r>
        <w:rPr>
          <w:rFonts w:cs="Calibri"/>
          <w:sz w:val="28"/>
          <w:szCs w:val="28"/>
        </w:rPr>
        <w:t xml:space="preserve"> poste comptable </w:t>
      </w:r>
      <w:r w:rsidR="00074C8A">
        <w:rPr>
          <w:rFonts w:cs="Calibri"/>
          <w:sz w:val="28"/>
          <w:szCs w:val="28"/>
        </w:rPr>
        <w:t xml:space="preserve">lors </w:t>
      </w:r>
      <w:r w:rsidR="00537BF1">
        <w:rPr>
          <w:rFonts w:cs="Calibri"/>
          <w:sz w:val="28"/>
          <w:szCs w:val="28"/>
        </w:rPr>
        <w:t>de leur</w:t>
      </w:r>
      <w:r>
        <w:rPr>
          <w:rFonts w:cs="Calibri"/>
          <w:sz w:val="28"/>
          <w:szCs w:val="28"/>
        </w:rPr>
        <w:t xml:space="preserve"> deuxième envoi en mois de mars </w:t>
      </w:r>
      <w:r w:rsidR="00537BF1">
        <w:rPr>
          <w:rFonts w:cs="Calibri"/>
          <w:sz w:val="28"/>
          <w:szCs w:val="28"/>
        </w:rPr>
        <w:t>a été</w:t>
      </w:r>
      <w:r>
        <w:rPr>
          <w:rFonts w:cs="Calibri"/>
          <w:sz w:val="28"/>
          <w:szCs w:val="28"/>
        </w:rPr>
        <w:t xml:space="preserve"> </w:t>
      </w:r>
      <w:r w:rsidR="00074C8A">
        <w:rPr>
          <w:rFonts w:cs="Calibri"/>
          <w:sz w:val="28"/>
          <w:szCs w:val="28"/>
        </w:rPr>
        <w:t>confirmé</w:t>
      </w:r>
      <w:r>
        <w:rPr>
          <w:rFonts w:cs="Calibri"/>
          <w:sz w:val="28"/>
          <w:szCs w:val="28"/>
        </w:rPr>
        <w:t xml:space="preserve"> par l’ensemble des treize DRT.</w:t>
      </w:r>
    </w:p>
    <w:p w14:paraId="7417E7FC" w14:textId="7D0C75CC" w:rsidR="009A1892" w:rsidRPr="004D62C6" w:rsidRDefault="00537BF1" w:rsidP="009A1892">
      <w:pPr>
        <w:pStyle w:val="Paragraphedeliste"/>
        <w:numPr>
          <w:ilvl w:val="0"/>
          <w:numId w:val="9"/>
        </w:numPr>
        <w:spacing w:before="100" w:after="100" w:line="360" w:lineRule="auto"/>
        <w:jc w:val="both"/>
        <w:outlineLvl w:val="0"/>
        <w:rPr>
          <w:rFonts w:cs="Calibri"/>
          <w:sz w:val="28"/>
          <w:szCs w:val="28"/>
          <w:highlight w:val="red"/>
        </w:rPr>
      </w:pPr>
      <w:r>
        <w:rPr>
          <w:rFonts w:cs="Calibri"/>
          <w:sz w:val="28"/>
          <w:szCs w:val="28"/>
        </w:rPr>
        <w:lastRenderedPageBreak/>
        <w:t xml:space="preserve">Le représentant de la DRT </w:t>
      </w:r>
      <w:proofErr w:type="spellStart"/>
      <w:r>
        <w:rPr>
          <w:rFonts w:cs="Calibri"/>
          <w:sz w:val="28"/>
          <w:szCs w:val="28"/>
        </w:rPr>
        <w:t>Guardaia</w:t>
      </w:r>
      <w:proofErr w:type="spellEnd"/>
      <w:r>
        <w:rPr>
          <w:rFonts w:cs="Calibri"/>
          <w:sz w:val="28"/>
          <w:szCs w:val="28"/>
        </w:rPr>
        <w:t xml:space="preserve"> a souligné que </w:t>
      </w:r>
      <w:r w:rsidR="00C43EF3">
        <w:rPr>
          <w:rFonts w:cs="Calibri"/>
          <w:sz w:val="28"/>
          <w:szCs w:val="28"/>
        </w:rPr>
        <w:t>le CD ROM reçu</w:t>
      </w:r>
      <w:r>
        <w:rPr>
          <w:rFonts w:cs="Calibri"/>
          <w:sz w:val="28"/>
          <w:szCs w:val="28"/>
        </w:rPr>
        <w:t xml:space="preserve"> pour sa DRT ne </w:t>
      </w:r>
      <w:r w:rsidR="00937E00">
        <w:rPr>
          <w:rFonts w:cs="Calibri"/>
          <w:sz w:val="28"/>
          <w:szCs w:val="28"/>
        </w:rPr>
        <w:t>contenait</w:t>
      </w:r>
      <w:r>
        <w:rPr>
          <w:rFonts w:cs="Calibri"/>
          <w:sz w:val="28"/>
          <w:szCs w:val="28"/>
        </w:rPr>
        <w:t xml:space="preserve"> que la liste des comptes gestionnaire</w:t>
      </w:r>
      <w:r w:rsidR="00937E00">
        <w:rPr>
          <w:rFonts w:cs="Calibri"/>
          <w:sz w:val="28"/>
          <w:szCs w:val="28"/>
        </w:rPr>
        <w:t>s</w:t>
      </w:r>
      <w:r>
        <w:rPr>
          <w:rFonts w:cs="Calibri"/>
          <w:sz w:val="28"/>
          <w:szCs w:val="28"/>
        </w:rPr>
        <w:t xml:space="preserve">, d’où la nécessité de faire une vérification </w:t>
      </w:r>
      <w:r w:rsidRPr="004D62C6">
        <w:rPr>
          <w:rFonts w:cs="Calibri"/>
          <w:sz w:val="28"/>
          <w:szCs w:val="28"/>
          <w:highlight w:val="red"/>
        </w:rPr>
        <w:t>avec la liste d’envoi de la centrale.</w:t>
      </w:r>
    </w:p>
    <w:p w14:paraId="005D5690" w14:textId="77777777" w:rsidR="00E873BD" w:rsidRDefault="00E873BD" w:rsidP="004D62C6">
      <w:pPr>
        <w:pStyle w:val="Paragraphedeliste"/>
        <w:spacing w:before="100" w:after="100" w:line="360" w:lineRule="auto"/>
        <w:ind w:left="1080"/>
        <w:jc w:val="both"/>
        <w:outlineLvl w:val="0"/>
        <w:rPr>
          <w:rFonts w:cs="Calibri"/>
          <w:sz w:val="28"/>
          <w:szCs w:val="28"/>
        </w:rPr>
      </w:pPr>
    </w:p>
    <w:p w14:paraId="2FE95A60" w14:textId="31A35EB4" w:rsidR="00E873BD" w:rsidRPr="004D62C6" w:rsidRDefault="00E873BD" w:rsidP="004D62C6">
      <w:pPr>
        <w:pStyle w:val="Paragraphedeliste"/>
        <w:numPr>
          <w:ilvl w:val="0"/>
          <w:numId w:val="12"/>
        </w:numPr>
        <w:spacing w:before="100" w:after="100" w:line="360" w:lineRule="auto"/>
        <w:jc w:val="both"/>
        <w:outlineLvl w:val="0"/>
        <w:rPr>
          <w:rFonts w:cs="Calibri"/>
          <w:b/>
          <w:bCs/>
          <w:sz w:val="28"/>
          <w:szCs w:val="28"/>
        </w:rPr>
      </w:pPr>
      <w:r w:rsidRPr="004D62C6">
        <w:rPr>
          <w:rFonts w:cs="Calibri"/>
          <w:b/>
          <w:bCs/>
          <w:sz w:val="28"/>
          <w:szCs w:val="28"/>
        </w:rPr>
        <w:t xml:space="preserve">Moyens et </w:t>
      </w:r>
      <w:r w:rsidR="004D62C6" w:rsidRPr="004D62C6">
        <w:rPr>
          <w:rFonts w:cs="Calibri"/>
          <w:b/>
          <w:bCs/>
          <w:sz w:val="28"/>
          <w:szCs w:val="28"/>
        </w:rPr>
        <w:t>infrastructures :</w:t>
      </w:r>
    </w:p>
    <w:p w14:paraId="075E6E6D" w14:textId="3942059C" w:rsidR="00E873BD" w:rsidRDefault="004D62C6" w:rsidP="00E873BD">
      <w:pPr>
        <w:pStyle w:val="Paragraphedeliste"/>
        <w:numPr>
          <w:ilvl w:val="0"/>
          <w:numId w:val="10"/>
        </w:numPr>
        <w:spacing w:before="100" w:after="100" w:line="360" w:lineRule="auto"/>
        <w:jc w:val="both"/>
        <w:outlineLvl w:val="0"/>
        <w:rPr>
          <w:rFonts w:cs="Calibri"/>
          <w:sz w:val="28"/>
          <w:szCs w:val="28"/>
        </w:rPr>
      </w:pPr>
      <w:r>
        <w:rPr>
          <w:rFonts w:cs="Calibri"/>
          <w:sz w:val="28"/>
          <w:szCs w:val="28"/>
        </w:rPr>
        <w:t>Des témoignages avec les treize DRT ont montré que ces derniers sont dotés des moyens nécessaires pour un bon lancement de l’</w:t>
      </w:r>
      <w:r w:rsidR="00D865D7">
        <w:rPr>
          <w:rFonts w:cs="Calibri"/>
          <w:sz w:val="28"/>
          <w:szCs w:val="28"/>
        </w:rPr>
        <w:t>opération de numérisation des Registres des Doléances à savoir le pc, l’internet, et les scanner.</w:t>
      </w:r>
    </w:p>
    <w:p w14:paraId="45BFCE83" w14:textId="08B24157" w:rsidR="00D865D7" w:rsidRDefault="00D865D7" w:rsidP="00E873BD">
      <w:pPr>
        <w:pStyle w:val="Paragraphedeliste"/>
        <w:numPr>
          <w:ilvl w:val="0"/>
          <w:numId w:val="10"/>
        </w:numPr>
        <w:spacing w:before="100" w:after="100" w:line="360" w:lineRule="auto"/>
        <w:jc w:val="both"/>
        <w:outlineLvl w:val="0"/>
        <w:rPr>
          <w:rFonts w:cs="Calibri"/>
          <w:sz w:val="28"/>
          <w:szCs w:val="28"/>
        </w:rPr>
      </w:pPr>
      <w:r>
        <w:rPr>
          <w:rFonts w:cs="Calibri"/>
          <w:sz w:val="28"/>
          <w:szCs w:val="28"/>
        </w:rPr>
        <w:t xml:space="preserve">De </w:t>
      </w:r>
      <w:r w:rsidR="00330D32">
        <w:rPr>
          <w:rFonts w:cs="Calibri"/>
          <w:sz w:val="28"/>
          <w:szCs w:val="28"/>
        </w:rPr>
        <w:t xml:space="preserve">même </w:t>
      </w:r>
      <w:r>
        <w:rPr>
          <w:rFonts w:cs="Calibri"/>
          <w:sz w:val="28"/>
          <w:szCs w:val="28"/>
        </w:rPr>
        <w:t xml:space="preserve">pour les </w:t>
      </w:r>
      <w:r w:rsidR="00330D32">
        <w:rPr>
          <w:rFonts w:cs="Calibri"/>
          <w:sz w:val="28"/>
          <w:szCs w:val="28"/>
        </w:rPr>
        <w:t>Trésoreries de wilaya, il été constaté la disponibilité de l’infrastructure</w:t>
      </w:r>
      <w:r w:rsidR="00937E00">
        <w:rPr>
          <w:rFonts w:cs="Calibri"/>
          <w:sz w:val="28"/>
          <w:szCs w:val="28"/>
        </w:rPr>
        <w:t>s</w:t>
      </w:r>
      <w:r w:rsidR="00330D32">
        <w:rPr>
          <w:rFonts w:cs="Calibri"/>
          <w:sz w:val="28"/>
          <w:szCs w:val="28"/>
        </w:rPr>
        <w:t xml:space="preserve"> nécessaire pour la numérisation des doléances.</w:t>
      </w:r>
    </w:p>
    <w:p w14:paraId="0E98D1B7" w14:textId="2B7E91E9" w:rsidR="00E873BD" w:rsidRDefault="00330D32" w:rsidP="00E873BD">
      <w:pPr>
        <w:pStyle w:val="Paragraphedeliste"/>
        <w:numPr>
          <w:ilvl w:val="0"/>
          <w:numId w:val="10"/>
        </w:numPr>
        <w:spacing w:before="100" w:after="100" w:line="360" w:lineRule="auto"/>
        <w:jc w:val="both"/>
        <w:outlineLvl w:val="0"/>
        <w:rPr>
          <w:rFonts w:cs="Calibri"/>
          <w:sz w:val="28"/>
          <w:szCs w:val="28"/>
        </w:rPr>
      </w:pPr>
      <w:r>
        <w:rPr>
          <w:rFonts w:cs="Calibri"/>
          <w:sz w:val="28"/>
          <w:szCs w:val="28"/>
        </w:rPr>
        <w:t>La situation au niveau des TC et des TEPS signale un manque important de l’infrastructure</w:t>
      </w:r>
      <w:r w:rsidR="00937E00">
        <w:rPr>
          <w:rFonts w:cs="Calibri"/>
          <w:sz w:val="28"/>
          <w:szCs w:val="28"/>
        </w:rPr>
        <w:t>s</w:t>
      </w:r>
      <w:r>
        <w:rPr>
          <w:rFonts w:cs="Calibri"/>
          <w:sz w:val="28"/>
          <w:szCs w:val="28"/>
        </w:rPr>
        <w:t xml:space="preserve"> nécessaire (PC et scanner), d’où 80% des postes ne possèdent pas des pcs dédiés pour le lancement de la solution Tansik.</w:t>
      </w:r>
    </w:p>
    <w:p w14:paraId="04BF46E6" w14:textId="28BF2E92" w:rsidR="008851A7" w:rsidRPr="00937E00" w:rsidRDefault="00330D32" w:rsidP="00937E00">
      <w:pPr>
        <w:pStyle w:val="Paragraphedeliste"/>
        <w:numPr>
          <w:ilvl w:val="0"/>
          <w:numId w:val="10"/>
        </w:numPr>
        <w:spacing w:before="100" w:after="100" w:line="360" w:lineRule="auto"/>
        <w:jc w:val="both"/>
        <w:outlineLvl w:val="0"/>
        <w:rPr>
          <w:rFonts w:cs="Calibri"/>
          <w:sz w:val="28"/>
          <w:szCs w:val="28"/>
        </w:rPr>
      </w:pPr>
      <w:r>
        <w:rPr>
          <w:rFonts w:cs="Calibri"/>
          <w:sz w:val="28"/>
          <w:szCs w:val="28"/>
        </w:rPr>
        <w:t>Aussi, il a été signé</w:t>
      </w:r>
      <w:r w:rsidR="008851A7">
        <w:rPr>
          <w:rFonts w:cs="Calibri"/>
          <w:sz w:val="28"/>
          <w:szCs w:val="28"/>
        </w:rPr>
        <w:t xml:space="preserve"> par certain DRT, le</w:t>
      </w:r>
      <w:r>
        <w:rPr>
          <w:rFonts w:cs="Calibri"/>
          <w:sz w:val="28"/>
          <w:szCs w:val="28"/>
        </w:rPr>
        <w:t xml:space="preserve"> manque de personnel habilité (informaticien) au </w:t>
      </w:r>
      <w:r w:rsidR="008851A7">
        <w:rPr>
          <w:rFonts w:cs="Calibri"/>
          <w:sz w:val="28"/>
          <w:szCs w:val="28"/>
        </w:rPr>
        <w:t>niveau des</w:t>
      </w:r>
      <w:r>
        <w:rPr>
          <w:rFonts w:cs="Calibri"/>
          <w:sz w:val="28"/>
          <w:szCs w:val="28"/>
        </w:rPr>
        <w:t xml:space="preserve"> TC</w:t>
      </w:r>
      <w:r w:rsidR="008851A7">
        <w:rPr>
          <w:rFonts w:cs="Calibri"/>
          <w:sz w:val="28"/>
          <w:szCs w:val="28"/>
        </w:rPr>
        <w:t>, afin d’assurer l’exploitation de Tansik.</w:t>
      </w:r>
    </w:p>
    <w:p w14:paraId="0FBE5181" w14:textId="5830E9B4" w:rsidR="008851A7" w:rsidRDefault="00E873BD" w:rsidP="008851A7">
      <w:pPr>
        <w:pStyle w:val="Paragraphedeliste"/>
        <w:numPr>
          <w:ilvl w:val="0"/>
          <w:numId w:val="12"/>
        </w:numPr>
        <w:spacing w:before="100" w:after="100" w:line="360" w:lineRule="auto"/>
        <w:jc w:val="both"/>
        <w:outlineLvl w:val="0"/>
        <w:rPr>
          <w:rFonts w:cs="Calibri"/>
          <w:b/>
          <w:bCs/>
          <w:sz w:val="28"/>
          <w:szCs w:val="28"/>
        </w:rPr>
      </w:pPr>
      <w:r w:rsidRPr="008851A7">
        <w:rPr>
          <w:rFonts w:cs="Calibri"/>
          <w:b/>
          <w:bCs/>
          <w:sz w:val="28"/>
          <w:szCs w:val="28"/>
        </w:rPr>
        <w:t>Formation et utilisation de Tansik :</w:t>
      </w:r>
    </w:p>
    <w:p w14:paraId="13AFDC95" w14:textId="77777777" w:rsidR="008851A7" w:rsidRPr="008851A7" w:rsidRDefault="008851A7" w:rsidP="008851A7">
      <w:pPr>
        <w:pStyle w:val="Paragraphedeliste"/>
        <w:spacing w:before="100" w:after="100" w:line="360" w:lineRule="auto"/>
        <w:jc w:val="both"/>
        <w:outlineLvl w:val="0"/>
        <w:rPr>
          <w:rFonts w:cs="Calibri"/>
          <w:b/>
          <w:bCs/>
          <w:sz w:val="28"/>
          <w:szCs w:val="28"/>
        </w:rPr>
      </w:pPr>
    </w:p>
    <w:p w14:paraId="5A8E32DA" w14:textId="0199FD83" w:rsidR="00E873BD" w:rsidRDefault="008851A7" w:rsidP="00E873BD">
      <w:pPr>
        <w:pStyle w:val="Paragraphedeliste"/>
        <w:numPr>
          <w:ilvl w:val="0"/>
          <w:numId w:val="11"/>
        </w:numPr>
        <w:spacing w:before="100" w:after="100" w:line="360" w:lineRule="auto"/>
        <w:jc w:val="both"/>
        <w:outlineLvl w:val="0"/>
        <w:rPr>
          <w:rFonts w:cs="Calibri"/>
          <w:sz w:val="28"/>
          <w:szCs w:val="28"/>
        </w:rPr>
      </w:pPr>
      <w:r>
        <w:rPr>
          <w:rFonts w:cs="Calibri"/>
          <w:sz w:val="28"/>
          <w:szCs w:val="28"/>
        </w:rPr>
        <w:t xml:space="preserve">L’audit </w:t>
      </w:r>
      <w:r w:rsidR="00394571">
        <w:rPr>
          <w:rFonts w:cs="Calibri"/>
          <w:sz w:val="28"/>
          <w:szCs w:val="28"/>
        </w:rPr>
        <w:t>a</w:t>
      </w:r>
      <w:r>
        <w:rPr>
          <w:rFonts w:cs="Calibri"/>
          <w:sz w:val="28"/>
          <w:szCs w:val="28"/>
        </w:rPr>
        <w:t xml:space="preserve"> aussi </w:t>
      </w:r>
      <w:r w:rsidR="00394571">
        <w:rPr>
          <w:rFonts w:cs="Calibri"/>
          <w:sz w:val="28"/>
          <w:szCs w:val="28"/>
        </w:rPr>
        <w:t xml:space="preserve">montré </w:t>
      </w:r>
      <w:r>
        <w:rPr>
          <w:rFonts w:cs="Calibri"/>
          <w:sz w:val="28"/>
          <w:szCs w:val="28"/>
        </w:rPr>
        <w:t xml:space="preserve">que la formation qui a été </w:t>
      </w:r>
      <w:r w:rsidR="00394571">
        <w:rPr>
          <w:rFonts w:cs="Calibri"/>
          <w:sz w:val="28"/>
          <w:szCs w:val="28"/>
        </w:rPr>
        <w:t>assurée</w:t>
      </w:r>
      <w:r>
        <w:rPr>
          <w:rFonts w:cs="Calibri"/>
          <w:sz w:val="28"/>
          <w:szCs w:val="28"/>
        </w:rPr>
        <w:t xml:space="preserve"> </w:t>
      </w:r>
      <w:r w:rsidR="00394571">
        <w:rPr>
          <w:rFonts w:cs="Calibri"/>
          <w:sz w:val="28"/>
          <w:szCs w:val="28"/>
        </w:rPr>
        <w:t xml:space="preserve">par </w:t>
      </w:r>
      <w:r>
        <w:rPr>
          <w:rFonts w:cs="Calibri"/>
          <w:sz w:val="28"/>
          <w:szCs w:val="28"/>
        </w:rPr>
        <w:t xml:space="preserve">les formateurs des différentes délégué locaux n’a pas abouti à son but, d’où il a été constaté qu’un nombre d’utilisateur de compte superviseurs des DRT </w:t>
      </w:r>
      <w:r w:rsidR="00CF74FB">
        <w:rPr>
          <w:rFonts w:cs="Calibri"/>
          <w:sz w:val="28"/>
          <w:szCs w:val="28"/>
        </w:rPr>
        <w:t>ne maitrisent</w:t>
      </w:r>
      <w:r>
        <w:rPr>
          <w:rFonts w:cs="Calibri"/>
          <w:sz w:val="28"/>
          <w:szCs w:val="28"/>
        </w:rPr>
        <w:t xml:space="preserve"> pas l’ensemble de leurs tâches dédié par l’application (supervision interne, supervision externe, différentes formes de réponse).</w:t>
      </w:r>
    </w:p>
    <w:p w14:paraId="19B7A3DA" w14:textId="77777777" w:rsidR="008851A7" w:rsidRDefault="008851A7" w:rsidP="008851A7">
      <w:pPr>
        <w:pStyle w:val="Paragraphedeliste"/>
        <w:spacing w:before="100" w:after="100" w:line="360" w:lineRule="auto"/>
        <w:jc w:val="both"/>
        <w:outlineLvl w:val="0"/>
        <w:rPr>
          <w:rFonts w:cs="Calibri"/>
          <w:sz w:val="28"/>
          <w:szCs w:val="28"/>
        </w:rPr>
      </w:pPr>
    </w:p>
    <w:p w14:paraId="7C556CB4" w14:textId="3515A5C8" w:rsidR="00E873BD" w:rsidRDefault="008851A7" w:rsidP="00E873BD">
      <w:pPr>
        <w:pStyle w:val="Paragraphedeliste"/>
        <w:numPr>
          <w:ilvl w:val="0"/>
          <w:numId w:val="11"/>
        </w:numPr>
        <w:spacing w:before="100" w:after="100" w:line="360" w:lineRule="auto"/>
        <w:jc w:val="both"/>
        <w:outlineLvl w:val="0"/>
        <w:rPr>
          <w:rFonts w:cs="Calibri"/>
          <w:sz w:val="28"/>
          <w:szCs w:val="28"/>
        </w:rPr>
      </w:pPr>
      <w:r>
        <w:rPr>
          <w:rFonts w:cs="Calibri"/>
          <w:sz w:val="28"/>
          <w:szCs w:val="28"/>
        </w:rPr>
        <w:lastRenderedPageBreak/>
        <w:t xml:space="preserve">Le constat relevé de cet audit met en évidence la nécessité d’assurer la session de formation prévue </w:t>
      </w:r>
      <w:r w:rsidRPr="00394571">
        <w:rPr>
          <w:rFonts w:cs="Calibri"/>
          <w:b/>
          <w:bCs/>
          <w:sz w:val="28"/>
          <w:szCs w:val="28"/>
        </w:rPr>
        <w:t>très prochainement</w:t>
      </w:r>
      <w:r>
        <w:rPr>
          <w:rFonts w:cs="Calibri"/>
          <w:sz w:val="28"/>
          <w:szCs w:val="28"/>
        </w:rPr>
        <w:t>, afin de permettre un bon démarrage de l’opération de numérisation.</w:t>
      </w:r>
    </w:p>
    <w:p w14:paraId="6E62E38D" w14:textId="77777777" w:rsidR="008851A7" w:rsidRPr="008851A7" w:rsidRDefault="008851A7" w:rsidP="008851A7">
      <w:pPr>
        <w:pStyle w:val="Paragraphedeliste"/>
        <w:rPr>
          <w:rFonts w:cs="Calibri"/>
          <w:sz w:val="28"/>
          <w:szCs w:val="28"/>
        </w:rPr>
      </w:pPr>
    </w:p>
    <w:p w14:paraId="772AF6A2" w14:textId="3A2ACC0C" w:rsidR="009D64A0" w:rsidRPr="00C43EF3" w:rsidRDefault="008851A7" w:rsidP="00C43EF3">
      <w:pPr>
        <w:pStyle w:val="Paragraphedeliste"/>
        <w:numPr>
          <w:ilvl w:val="0"/>
          <w:numId w:val="11"/>
        </w:numPr>
        <w:spacing w:before="100" w:after="100" w:line="360" w:lineRule="auto"/>
        <w:jc w:val="both"/>
        <w:outlineLvl w:val="0"/>
        <w:rPr>
          <w:rFonts w:cs="Calibri"/>
          <w:sz w:val="28"/>
          <w:szCs w:val="28"/>
        </w:rPr>
      </w:pPr>
      <w:r>
        <w:rPr>
          <w:rFonts w:cs="Calibri"/>
          <w:sz w:val="28"/>
          <w:szCs w:val="28"/>
        </w:rPr>
        <w:t>La solution Ta</w:t>
      </w:r>
      <w:r w:rsidR="008016D4">
        <w:rPr>
          <w:rFonts w:cs="Calibri"/>
          <w:sz w:val="28"/>
          <w:szCs w:val="28"/>
        </w:rPr>
        <w:t>n</w:t>
      </w:r>
      <w:r>
        <w:rPr>
          <w:rFonts w:cs="Calibri"/>
          <w:sz w:val="28"/>
          <w:szCs w:val="28"/>
        </w:rPr>
        <w:t xml:space="preserve">sik a </w:t>
      </w:r>
      <w:r w:rsidR="0056119E">
        <w:rPr>
          <w:rFonts w:cs="Calibri"/>
          <w:sz w:val="28"/>
          <w:szCs w:val="28"/>
        </w:rPr>
        <w:t>connue des mises</w:t>
      </w:r>
      <w:r>
        <w:rPr>
          <w:rFonts w:cs="Calibri"/>
          <w:sz w:val="28"/>
          <w:szCs w:val="28"/>
        </w:rPr>
        <w:t xml:space="preserve"> à jour dans ces fonctionnalité</w:t>
      </w:r>
      <w:r w:rsidR="008016D4">
        <w:rPr>
          <w:rFonts w:cs="Calibri"/>
          <w:sz w:val="28"/>
          <w:szCs w:val="28"/>
        </w:rPr>
        <w:t>s</w:t>
      </w:r>
      <w:r>
        <w:rPr>
          <w:rFonts w:cs="Calibri"/>
          <w:sz w:val="28"/>
          <w:szCs w:val="28"/>
        </w:rPr>
        <w:t xml:space="preserve">, d’où la nécessité d’avoir une version </w:t>
      </w:r>
      <w:r w:rsidR="008016D4">
        <w:rPr>
          <w:rFonts w:cs="Calibri"/>
          <w:sz w:val="28"/>
          <w:szCs w:val="28"/>
        </w:rPr>
        <w:t>du guide mis à jour, et qu’elle soit distribué pour l’ensemble des utilisateurs.</w:t>
      </w:r>
    </w:p>
    <w:p w14:paraId="464497B7" w14:textId="77777777" w:rsidR="009D64A0" w:rsidRDefault="009D64A0" w:rsidP="009D64A0">
      <w:pPr>
        <w:spacing w:before="100" w:after="100" w:line="240" w:lineRule="auto"/>
        <w:rPr>
          <w:rFonts w:eastAsia="Times New Roman" w:cs="Calibri"/>
          <w:kern w:val="0"/>
          <w:sz w:val="24"/>
          <w:szCs w:val="24"/>
          <w:lang w:eastAsia="fr-FR"/>
        </w:rPr>
      </w:pPr>
    </w:p>
    <w:p w14:paraId="507D32DA" w14:textId="77777777" w:rsidR="009D64A0" w:rsidRDefault="009D64A0" w:rsidP="009D64A0">
      <w:pPr>
        <w:spacing w:before="100" w:after="100" w:line="240" w:lineRule="auto"/>
        <w:outlineLvl w:val="1"/>
        <w:rPr>
          <w:rFonts w:eastAsia="Times New Roman" w:cs="Calibri"/>
          <w:b/>
          <w:bCs/>
          <w:kern w:val="0"/>
          <w:sz w:val="36"/>
          <w:szCs w:val="36"/>
          <w:lang w:eastAsia="fr-FR"/>
        </w:rPr>
      </w:pPr>
      <w:r>
        <w:rPr>
          <w:rFonts w:eastAsia="Times New Roman" w:cs="Calibri"/>
          <w:b/>
          <w:bCs/>
          <w:kern w:val="0"/>
          <w:sz w:val="36"/>
          <w:szCs w:val="36"/>
          <w:lang w:eastAsia="fr-FR"/>
        </w:rPr>
        <w:t>Conclusion</w:t>
      </w:r>
    </w:p>
    <w:p w14:paraId="09349778" w14:textId="77777777" w:rsidR="0056119E" w:rsidRDefault="0056119E" w:rsidP="009D64A0">
      <w:pPr>
        <w:spacing w:before="100" w:after="100" w:line="240" w:lineRule="auto"/>
        <w:outlineLvl w:val="1"/>
        <w:rPr>
          <w:rFonts w:eastAsia="Times New Roman" w:cs="Calibri"/>
          <w:b/>
          <w:bCs/>
          <w:kern w:val="0"/>
          <w:sz w:val="36"/>
          <w:szCs w:val="36"/>
          <w:lang w:eastAsia="fr-FR"/>
        </w:rPr>
      </w:pPr>
    </w:p>
    <w:p w14:paraId="164D116B" w14:textId="1CE47365" w:rsidR="003E3437" w:rsidRDefault="009D64A0" w:rsidP="003E3437">
      <w:pPr>
        <w:pStyle w:val="NormalWeb"/>
        <w:spacing w:line="360" w:lineRule="auto"/>
        <w:rPr>
          <w:rFonts w:ascii="Calibri" w:hAnsi="Calibri" w:cs="Calibri"/>
          <w:sz w:val="28"/>
          <w:szCs w:val="28"/>
        </w:rPr>
      </w:pPr>
      <w:r>
        <w:rPr>
          <w:rFonts w:ascii="Calibri" w:hAnsi="Calibri" w:cs="Calibri"/>
          <w:sz w:val="28"/>
          <w:szCs w:val="28"/>
        </w:rPr>
        <w:t xml:space="preserve">    En conclusion,</w:t>
      </w:r>
      <w:r w:rsidR="003E3437">
        <w:rPr>
          <w:rFonts w:ascii="Calibri" w:hAnsi="Calibri" w:cs="Calibri"/>
          <w:sz w:val="28"/>
          <w:szCs w:val="28"/>
        </w:rPr>
        <w:t xml:space="preserve"> les retours des utilisateurs et leurs expressions de besoin ont participé à la réalisation de ce constat</w:t>
      </w:r>
      <w:r>
        <w:rPr>
          <w:rFonts w:ascii="Calibri" w:hAnsi="Calibri" w:cs="Calibri"/>
          <w:sz w:val="28"/>
          <w:szCs w:val="28"/>
        </w:rPr>
        <w:t>.</w:t>
      </w:r>
    </w:p>
    <w:p w14:paraId="6612070A" w14:textId="5EA68A5C" w:rsidR="003E3437" w:rsidRDefault="003E3437" w:rsidP="003E3437">
      <w:pPr>
        <w:pStyle w:val="NormalWeb"/>
        <w:spacing w:line="360" w:lineRule="auto"/>
        <w:rPr>
          <w:rFonts w:ascii="Calibri" w:hAnsi="Calibri" w:cs="Calibri"/>
          <w:sz w:val="28"/>
          <w:szCs w:val="28"/>
        </w:rPr>
      </w:pPr>
      <w:r>
        <w:rPr>
          <w:rFonts w:ascii="Calibri" w:hAnsi="Calibri" w:cs="Calibri"/>
          <w:sz w:val="28"/>
          <w:szCs w:val="28"/>
        </w:rPr>
        <w:t xml:space="preserve">  En effet, la prise en charge du manque des moyens et des infrastructures participera en étroite collaboration à la réussite et la finalisation du déploiement de la solution Tansik. </w:t>
      </w:r>
    </w:p>
    <w:p w14:paraId="2C380AAC" w14:textId="451C65CC" w:rsidR="009D64A0" w:rsidRDefault="009D64A0" w:rsidP="009D64A0">
      <w:pPr>
        <w:pStyle w:val="NormalWeb"/>
        <w:spacing w:line="360" w:lineRule="auto"/>
        <w:rPr>
          <w:rFonts w:ascii="Calibri" w:hAnsi="Calibri" w:cs="Calibri"/>
          <w:sz w:val="28"/>
          <w:szCs w:val="28"/>
        </w:rPr>
      </w:pPr>
      <w:r>
        <w:rPr>
          <w:rFonts w:ascii="Calibri" w:hAnsi="Calibri" w:cs="Calibri"/>
          <w:sz w:val="28"/>
          <w:szCs w:val="28"/>
        </w:rPr>
        <w:t xml:space="preserve">L'équipe de la DGTGCOFE est prête à rester à l’écoute </w:t>
      </w:r>
      <w:r w:rsidR="003E3437">
        <w:rPr>
          <w:rFonts w:ascii="Calibri" w:hAnsi="Calibri" w:cs="Calibri"/>
          <w:sz w:val="28"/>
          <w:szCs w:val="28"/>
        </w:rPr>
        <w:t>pour fournir</w:t>
      </w:r>
      <w:r>
        <w:rPr>
          <w:rFonts w:ascii="Calibri" w:hAnsi="Calibri" w:cs="Calibri"/>
          <w:sz w:val="28"/>
          <w:szCs w:val="28"/>
        </w:rPr>
        <w:t xml:space="preserve"> un soutien continu tout au long du processus de déploiement.</w:t>
      </w:r>
    </w:p>
    <w:p w14:paraId="7CFE41B8" w14:textId="77777777" w:rsidR="009D64A0" w:rsidRDefault="009D64A0" w:rsidP="009D64A0">
      <w:pPr>
        <w:spacing w:before="100" w:after="100" w:line="360" w:lineRule="auto"/>
        <w:ind w:left="720"/>
        <w:rPr>
          <w:rFonts w:cs="Calibri"/>
        </w:rPr>
      </w:pPr>
    </w:p>
    <w:p w14:paraId="18B6108B" w14:textId="77777777" w:rsidR="00E518E2" w:rsidRPr="009D64A0" w:rsidRDefault="00E518E2" w:rsidP="009D64A0"/>
    <w:sectPr w:rsidR="00E518E2" w:rsidRPr="009D64A0" w:rsidSect="006F5DDB">
      <w:footerReference w:type="default" r:id="rId7"/>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E4674" w14:textId="77777777" w:rsidR="00417D42" w:rsidRDefault="00417D42" w:rsidP="00E103B6">
      <w:pPr>
        <w:spacing w:after="0" w:line="240" w:lineRule="auto"/>
      </w:pPr>
      <w:r>
        <w:separator/>
      </w:r>
    </w:p>
  </w:endnote>
  <w:endnote w:type="continuationSeparator" w:id="0">
    <w:p w14:paraId="26BEC15D" w14:textId="77777777" w:rsidR="00417D42" w:rsidRDefault="00417D42" w:rsidP="00E10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313401"/>
      <w:docPartObj>
        <w:docPartGallery w:val="Page Numbers (Bottom of Page)"/>
        <w:docPartUnique/>
      </w:docPartObj>
    </w:sdtPr>
    <w:sdtContent>
      <w:p w14:paraId="727905C5" w14:textId="67D36D7E" w:rsidR="00E103B6" w:rsidRDefault="005E7D6A">
        <w:pPr>
          <w:pStyle w:val="Pieddepage"/>
        </w:pPr>
        <w:r>
          <w:rPr>
            <w:noProof/>
          </w:rPr>
          <mc:AlternateContent>
            <mc:Choice Requires="wps">
              <w:drawing>
                <wp:anchor distT="0" distB="0" distL="114300" distR="114300" simplePos="0" relativeHeight="251659264" behindDoc="0" locked="0" layoutInCell="0" allowOverlap="1" wp14:anchorId="1557E24A" wp14:editId="01A6673E">
                  <wp:simplePos x="0" y="0"/>
                  <wp:positionH relativeFrom="rightMargin">
                    <wp:align>left</wp:align>
                  </wp:positionH>
                  <mc:AlternateContent>
                    <mc:Choice Requires="wp14">
                      <wp:positionV relativeFrom="bottomMargin">
                        <wp14:pctPosVOffset>7000</wp14:pctPosVOffset>
                      </wp:positionV>
                    </mc:Choice>
                    <mc:Fallback>
                      <wp:positionV relativeFrom="page">
                        <wp:posOffset>9221470</wp:posOffset>
                      </wp:positionV>
                    </mc:Fallback>
                  </mc:AlternateContent>
                  <wp:extent cx="368300" cy="274320"/>
                  <wp:effectExtent l="9525" t="9525" r="12700" b="11430"/>
                  <wp:wrapNone/>
                  <wp:docPr id="1137721954"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6790EB1A" w14:textId="77777777" w:rsidR="00E103B6" w:rsidRDefault="00E103B6">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7E24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6790EB1A" w14:textId="77777777" w:rsidR="00E103B6" w:rsidRDefault="00E103B6">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50F30" w14:textId="77777777" w:rsidR="00417D42" w:rsidRDefault="00417D42" w:rsidP="00E103B6">
      <w:pPr>
        <w:spacing w:after="0" w:line="240" w:lineRule="auto"/>
      </w:pPr>
      <w:r>
        <w:separator/>
      </w:r>
    </w:p>
  </w:footnote>
  <w:footnote w:type="continuationSeparator" w:id="0">
    <w:p w14:paraId="03E1A72E" w14:textId="77777777" w:rsidR="00417D42" w:rsidRDefault="00417D42" w:rsidP="00E103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A6CF7"/>
    <w:multiLevelType w:val="hybridMultilevel"/>
    <w:tmpl w:val="6452015A"/>
    <w:lvl w:ilvl="0" w:tplc="7C66B56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0E352F"/>
    <w:multiLevelType w:val="hybridMultilevel"/>
    <w:tmpl w:val="0436D972"/>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1C32B1E"/>
    <w:multiLevelType w:val="multilevel"/>
    <w:tmpl w:val="ABC8A8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B1491C"/>
    <w:multiLevelType w:val="hybridMultilevel"/>
    <w:tmpl w:val="D6A06BD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201179"/>
    <w:multiLevelType w:val="hybridMultilevel"/>
    <w:tmpl w:val="002E3D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81532E"/>
    <w:multiLevelType w:val="hybridMultilevel"/>
    <w:tmpl w:val="36A0F19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A1571BD"/>
    <w:multiLevelType w:val="hybridMultilevel"/>
    <w:tmpl w:val="FCE8091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9BC06ED"/>
    <w:multiLevelType w:val="multilevel"/>
    <w:tmpl w:val="E190E610"/>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4F217460"/>
    <w:multiLevelType w:val="hybridMultilevel"/>
    <w:tmpl w:val="4B50B0A0"/>
    <w:lvl w:ilvl="0" w:tplc="E8B4C258">
      <w:numFmt w:val="bullet"/>
      <w:lvlText w:val="-"/>
      <w:lvlJc w:val="left"/>
      <w:pPr>
        <w:ind w:left="720" w:hanging="360"/>
      </w:pPr>
      <w:rPr>
        <w:rFonts w:ascii="Times New Roman" w:eastAsia="Times New Roman"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50587EE9"/>
    <w:multiLevelType w:val="hybridMultilevel"/>
    <w:tmpl w:val="0BCCE7C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57B92649"/>
    <w:multiLevelType w:val="multilevel"/>
    <w:tmpl w:val="EF927C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72307391"/>
    <w:multiLevelType w:val="hybridMultilevel"/>
    <w:tmpl w:val="C4FC7F1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11760857">
    <w:abstractNumId w:val="5"/>
  </w:num>
  <w:num w:numId="2" w16cid:durableId="1416971017">
    <w:abstractNumId w:val="8"/>
  </w:num>
  <w:num w:numId="3" w16cid:durableId="975111847">
    <w:abstractNumId w:val="11"/>
  </w:num>
  <w:num w:numId="4" w16cid:durableId="2121485366">
    <w:abstractNumId w:val="0"/>
  </w:num>
  <w:num w:numId="5" w16cid:durableId="960768622">
    <w:abstractNumId w:val="2"/>
  </w:num>
  <w:num w:numId="6" w16cid:durableId="596256490">
    <w:abstractNumId w:val="10"/>
  </w:num>
  <w:num w:numId="7" w16cid:durableId="1528831210">
    <w:abstractNumId w:val="7"/>
  </w:num>
  <w:num w:numId="8" w16cid:durableId="1771007330">
    <w:abstractNumId w:val="4"/>
  </w:num>
  <w:num w:numId="9" w16cid:durableId="246958872">
    <w:abstractNumId w:val="1"/>
  </w:num>
  <w:num w:numId="10" w16cid:durableId="1861433939">
    <w:abstractNumId w:val="9"/>
  </w:num>
  <w:num w:numId="11" w16cid:durableId="2079791352">
    <w:abstractNumId w:val="3"/>
  </w:num>
  <w:num w:numId="12" w16cid:durableId="9311652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06"/>
    <w:rsid w:val="00004E4D"/>
    <w:rsid w:val="00074C8A"/>
    <w:rsid w:val="0009010C"/>
    <w:rsid w:val="00143884"/>
    <w:rsid w:val="00234C38"/>
    <w:rsid w:val="00330D32"/>
    <w:rsid w:val="00353E94"/>
    <w:rsid w:val="003739F9"/>
    <w:rsid w:val="00394571"/>
    <w:rsid w:val="003E3437"/>
    <w:rsid w:val="00417D42"/>
    <w:rsid w:val="004544D3"/>
    <w:rsid w:val="00495825"/>
    <w:rsid w:val="004D62C6"/>
    <w:rsid w:val="004E6CD2"/>
    <w:rsid w:val="00537BF1"/>
    <w:rsid w:val="0056119E"/>
    <w:rsid w:val="0059165A"/>
    <w:rsid w:val="005E7D6A"/>
    <w:rsid w:val="006541D0"/>
    <w:rsid w:val="006F5DDB"/>
    <w:rsid w:val="007B5A3F"/>
    <w:rsid w:val="008016D4"/>
    <w:rsid w:val="008269D9"/>
    <w:rsid w:val="00850F4B"/>
    <w:rsid w:val="008851A7"/>
    <w:rsid w:val="00911182"/>
    <w:rsid w:val="00937E00"/>
    <w:rsid w:val="009846D1"/>
    <w:rsid w:val="00992932"/>
    <w:rsid w:val="009A1892"/>
    <w:rsid w:val="009D64A0"/>
    <w:rsid w:val="00A15EA9"/>
    <w:rsid w:val="00A23D06"/>
    <w:rsid w:val="00A94F37"/>
    <w:rsid w:val="00C35C11"/>
    <w:rsid w:val="00C379D6"/>
    <w:rsid w:val="00C43EF3"/>
    <w:rsid w:val="00CF74FB"/>
    <w:rsid w:val="00D2255C"/>
    <w:rsid w:val="00D865D7"/>
    <w:rsid w:val="00DB6FBD"/>
    <w:rsid w:val="00E103B6"/>
    <w:rsid w:val="00E518E2"/>
    <w:rsid w:val="00E873BD"/>
    <w:rsid w:val="00EA3D91"/>
    <w:rsid w:val="00EF7803"/>
    <w:rsid w:val="00FC0DA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31D0F"/>
  <w15:docId w15:val="{6BD35848-E7BB-4BFF-8804-A7FDD8167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3BD"/>
    <w:pPr>
      <w:suppressAutoHyphens/>
      <w:autoSpaceDN w:val="0"/>
      <w:spacing w:after="160" w:line="256" w:lineRule="auto"/>
      <w:textAlignment w:val="baseline"/>
    </w:pPr>
    <w:rPr>
      <w:rFonts w:ascii="Calibri" w:eastAsia="Calibri" w:hAnsi="Calibri" w:cs="Arial"/>
      <w:kern w:val="3"/>
    </w:rPr>
  </w:style>
  <w:style w:type="paragraph" w:styleId="Titre1">
    <w:name w:val="heading 1"/>
    <w:basedOn w:val="Normal"/>
    <w:next w:val="Normal"/>
    <w:link w:val="Titre1Car"/>
    <w:uiPriority w:val="9"/>
    <w:qFormat/>
    <w:rsid w:val="00353E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53E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53E94"/>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353E94"/>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353E94"/>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353E9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353E9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353E9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353E9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3E9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53E9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53E9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353E9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353E94"/>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353E94"/>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sid w:val="00353E9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sid w:val="00353E9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sid w:val="00353E94"/>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353E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53E94"/>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353E9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353E94"/>
    <w:rPr>
      <w:rFonts w:asciiTheme="majorHAnsi" w:eastAsiaTheme="majorEastAsia" w:hAnsiTheme="majorHAnsi" w:cstheme="majorBidi"/>
      <w:i/>
      <w:iCs/>
      <w:color w:val="4F81BD" w:themeColor="accent1"/>
      <w:spacing w:val="15"/>
      <w:sz w:val="24"/>
      <w:szCs w:val="24"/>
    </w:rPr>
  </w:style>
  <w:style w:type="character" w:styleId="Accentuationlgre">
    <w:name w:val="Subtle Emphasis"/>
    <w:basedOn w:val="Policepardfaut"/>
    <w:uiPriority w:val="19"/>
    <w:qFormat/>
    <w:rsid w:val="00353E94"/>
    <w:rPr>
      <w:i/>
      <w:iCs/>
      <w:color w:val="808080" w:themeColor="text1" w:themeTint="7F"/>
    </w:rPr>
  </w:style>
  <w:style w:type="character" w:styleId="Accentuation">
    <w:name w:val="Emphasis"/>
    <w:basedOn w:val="Policepardfaut"/>
    <w:uiPriority w:val="20"/>
    <w:qFormat/>
    <w:rsid w:val="00353E94"/>
    <w:rPr>
      <w:i/>
      <w:iCs/>
    </w:rPr>
  </w:style>
  <w:style w:type="character" w:styleId="Accentuationintense">
    <w:name w:val="Intense Emphasis"/>
    <w:basedOn w:val="Policepardfaut"/>
    <w:uiPriority w:val="21"/>
    <w:qFormat/>
    <w:rsid w:val="00353E94"/>
    <w:rPr>
      <w:b/>
      <w:bCs/>
      <w:i/>
      <w:iCs/>
      <w:color w:val="4F81BD" w:themeColor="accent1"/>
    </w:rPr>
  </w:style>
  <w:style w:type="character" w:styleId="lev">
    <w:name w:val="Strong"/>
    <w:basedOn w:val="Policepardfaut"/>
    <w:uiPriority w:val="22"/>
    <w:qFormat/>
    <w:rsid w:val="00353E94"/>
    <w:rPr>
      <w:b/>
      <w:bCs/>
    </w:rPr>
  </w:style>
  <w:style w:type="paragraph" w:styleId="Citation">
    <w:name w:val="Quote"/>
    <w:basedOn w:val="Normal"/>
    <w:next w:val="Normal"/>
    <w:link w:val="CitationCar"/>
    <w:uiPriority w:val="29"/>
    <w:qFormat/>
    <w:rsid w:val="00353E94"/>
    <w:rPr>
      <w:i/>
      <w:iCs/>
      <w:color w:val="000000" w:themeColor="text1"/>
    </w:rPr>
  </w:style>
  <w:style w:type="character" w:customStyle="1" w:styleId="CitationCar">
    <w:name w:val="Citation Car"/>
    <w:basedOn w:val="Policepardfaut"/>
    <w:link w:val="Citation"/>
    <w:uiPriority w:val="29"/>
    <w:rsid w:val="00353E94"/>
    <w:rPr>
      <w:i/>
      <w:iCs/>
      <w:color w:val="000000" w:themeColor="text1"/>
    </w:rPr>
  </w:style>
  <w:style w:type="paragraph" w:styleId="Citationintense">
    <w:name w:val="Intense Quote"/>
    <w:basedOn w:val="Normal"/>
    <w:next w:val="Normal"/>
    <w:link w:val="CitationintenseCar"/>
    <w:uiPriority w:val="30"/>
    <w:qFormat/>
    <w:rsid w:val="00353E94"/>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353E94"/>
    <w:rPr>
      <w:b/>
      <w:bCs/>
      <w:i/>
      <w:iCs/>
      <w:color w:val="4F81BD" w:themeColor="accent1"/>
    </w:rPr>
  </w:style>
  <w:style w:type="character" w:styleId="Rfrencelgre">
    <w:name w:val="Subtle Reference"/>
    <w:basedOn w:val="Policepardfaut"/>
    <w:uiPriority w:val="31"/>
    <w:qFormat/>
    <w:rsid w:val="00353E94"/>
    <w:rPr>
      <w:smallCaps/>
      <w:color w:val="C0504D" w:themeColor="accent2"/>
      <w:u w:val="single"/>
    </w:rPr>
  </w:style>
  <w:style w:type="character" w:styleId="Rfrenceintense">
    <w:name w:val="Intense Reference"/>
    <w:basedOn w:val="Policepardfaut"/>
    <w:uiPriority w:val="32"/>
    <w:qFormat/>
    <w:rsid w:val="00353E94"/>
    <w:rPr>
      <w:b/>
      <w:bCs/>
      <w:smallCaps/>
      <w:color w:val="C0504D" w:themeColor="accent2"/>
      <w:spacing w:val="5"/>
      <w:u w:val="single"/>
    </w:rPr>
  </w:style>
  <w:style w:type="character" w:styleId="Titredulivre">
    <w:name w:val="Book Title"/>
    <w:basedOn w:val="Policepardfaut"/>
    <w:uiPriority w:val="33"/>
    <w:qFormat/>
    <w:rsid w:val="00353E94"/>
    <w:rPr>
      <w:b/>
      <w:bCs/>
      <w:smallCaps/>
      <w:spacing w:val="5"/>
    </w:rPr>
  </w:style>
  <w:style w:type="paragraph" w:styleId="Paragraphedeliste">
    <w:name w:val="List Paragraph"/>
    <w:basedOn w:val="Normal"/>
    <w:qFormat/>
    <w:rsid w:val="00353E94"/>
    <w:pPr>
      <w:ind w:left="720"/>
      <w:contextualSpacing/>
    </w:pPr>
  </w:style>
  <w:style w:type="character" w:styleId="Lienhypertexte">
    <w:name w:val="Hyperlink"/>
    <w:basedOn w:val="Policepardfaut"/>
    <w:uiPriority w:val="99"/>
    <w:unhideWhenUsed/>
    <w:rsid w:val="00353E94"/>
    <w:rPr>
      <w:color w:val="0000FF" w:themeColor="hyperlink"/>
      <w:u w:val="single"/>
    </w:rPr>
  </w:style>
  <w:style w:type="character" w:styleId="Lienhypertextesuivivisit">
    <w:name w:val="FollowedHyperlink"/>
    <w:basedOn w:val="Policepardfaut"/>
    <w:uiPriority w:val="99"/>
    <w:unhideWhenUsed/>
    <w:rsid w:val="00353E94"/>
    <w:rPr>
      <w:color w:val="800080" w:themeColor="followedHyperlink"/>
      <w:u w:val="single"/>
    </w:rPr>
  </w:style>
  <w:style w:type="paragraph" w:styleId="NormalWeb">
    <w:name w:val="Normal (Web)"/>
    <w:basedOn w:val="Normal"/>
    <w:rsid w:val="009D64A0"/>
    <w:pPr>
      <w:spacing w:before="100" w:after="100" w:line="240" w:lineRule="auto"/>
    </w:pPr>
    <w:rPr>
      <w:rFonts w:ascii="Times New Roman" w:eastAsia="Times New Roman" w:hAnsi="Times New Roman" w:cs="Times New Roman"/>
      <w:kern w:val="0"/>
      <w:sz w:val="24"/>
      <w:szCs w:val="24"/>
      <w:lang w:eastAsia="fr-FR"/>
    </w:rPr>
  </w:style>
  <w:style w:type="paragraph" w:styleId="En-tte">
    <w:name w:val="header"/>
    <w:basedOn w:val="Normal"/>
    <w:link w:val="En-tteCar"/>
    <w:uiPriority w:val="99"/>
    <w:unhideWhenUsed/>
    <w:rsid w:val="00E103B6"/>
    <w:pPr>
      <w:tabs>
        <w:tab w:val="center" w:pos="4536"/>
        <w:tab w:val="right" w:pos="9072"/>
      </w:tabs>
      <w:spacing w:after="0" w:line="240" w:lineRule="auto"/>
    </w:pPr>
  </w:style>
  <w:style w:type="character" w:customStyle="1" w:styleId="En-tteCar">
    <w:name w:val="En-tête Car"/>
    <w:basedOn w:val="Policepardfaut"/>
    <w:link w:val="En-tte"/>
    <w:uiPriority w:val="99"/>
    <w:rsid w:val="00E103B6"/>
    <w:rPr>
      <w:rFonts w:ascii="Calibri" w:eastAsia="Calibri" w:hAnsi="Calibri" w:cs="Arial"/>
      <w:kern w:val="3"/>
    </w:rPr>
  </w:style>
  <w:style w:type="paragraph" w:styleId="Pieddepage">
    <w:name w:val="footer"/>
    <w:basedOn w:val="Normal"/>
    <w:link w:val="PieddepageCar"/>
    <w:uiPriority w:val="99"/>
    <w:unhideWhenUsed/>
    <w:rsid w:val="00E103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03B6"/>
    <w:rPr>
      <w:rFonts w:ascii="Calibri" w:eastAsia="Calibri" w:hAnsi="Calibri" w:cs="Arial"/>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6\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Template>
  <TotalTime>1636</TotalTime>
  <Pages>4</Pages>
  <Words>758</Words>
  <Characters>4169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tresor</cp:lastModifiedBy>
  <cp:revision>6</cp:revision>
  <cp:lastPrinted>2024-05-08T07:01:00Z</cp:lastPrinted>
  <dcterms:created xsi:type="dcterms:W3CDTF">2024-05-07T08:14:00Z</dcterms:created>
  <dcterms:modified xsi:type="dcterms:W3CDTF">2024-05-27T07:12:00Z</dcterms:modified>
</cp:coreProperties>
</file>