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274A" w14:textId="77777777" w:rsidR="00B21B58" w:rsidRDefault="00B21B58">
      <w:pP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</w:p>
    <w:p w14:paraId="0D3F398C" w14:textId="77777777" w:rsidR="00B21B58" w:rsidRDefault="00000000">
      <w:pPr>
        <w:spacing w:before="100" w:after="1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  <w:t>Point de Situation Actuelle du point focal de la DGTGCOFE</w:t>
      </w:r>
    </w:p>
    <w:p w14:paraId="4D8F6668" w14:textId="77777777" w:rsidR="00B21B58" w:rsidRDefault="00B21B58">
      <w:pP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"/>
          <w:sz w:val="48"/>
          <w:szCs w:val="48"/>
          <w:lang w:eastAsia="fr-FR"/>
        </w:rPr>
      </w:pPr>
    </w:p>
    <w:p w14:paraId="1158869D" w14:textId="77777777" w:rsidR="00B21B58" w:rsidRDefault="00000000">
      <w:pPr>
        <w:pStyle w:val="Paragraphedeliste"/>
        <w:numPr>
          <w:ilvl w:val="0"/>
          <w:numId w:val="1"/>
        </w:numPr>
        <w:spacing w:before="100" w:after="100" w:line="240" w:lineRule="auto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44"/>
          <w:szCs w:val="44"/>
          <w:lang w:eastAsia="fr-FR"/>
        </w:rPr>
        <w:t>Introduction</w:t>
      </w:r>
    </w:p>
    <w:p w14:paraId="0C30FEEB" w14:textId="02E7A3FB" w:rsidR="00B21B58" w:rsidRDefault="00000000">
      <w:pPr>
        <w:spacing w:before="100" w:after="100" w:line="360" w:lineRule="auto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     </w:t>
      </w:r>
      <w:r w:rsidRPr="00135491">
        <w:rPr>
          <w:rFonts w:eastAsia="Times New Roman" w:cs="Calibri"/>
          <w:sz w:val="28"/>
          <w:szCs w:val="28"/>
          <w:highlight w:val="red"/>
          <w:lang w:eastAsia="fr-FR"/>
        </w:rPr>
        <w:t>Le présent rapport</w:t>
      </w:r>
      <w:r w:rsidR="00D74124" w:rsidRPr="00135491">
        <w:rPr>
          <w:rFonts w:eastAsia="Times New Roman" w:cs="Calibri"/>
          <w:sz w:val="28"/>
          <w:szCs w:val="28"/>
          <w:highlight w:val="red"/>
          <w:lang w:eastAsia="fr-FR"/>
        </w:rPr>
        <w:t xml:space="preserve"> est une analyse de la mise en production  </w:t>
      </w:r>
      <w:r w:rsidRPr="00135491">
        <w:rPr>
          <w:rFonts w:eastAsia="Times New Roman" w:cs="Calibri"/>
          <w:sz w:val="28"/>
          <w:szCs w:val="28"/>
          <w:highlight w:val="red"/>
          <w:lang w:eastAsia="fr-FR"/>
        </w:rPr>
        <w:t xml:space="preserve"> vise à analyser et à présenter la situation actuelle de l’état d’avancement observés dans le traitement de l’opération de numérisation des Registres des Doléances au sein de l'application</w:t>
      </w:r>
      <w:r>
        <w:rPr>
          <w:rFonts w:eastAsia="Times New Roman" w:cs="Calibri"/>
          <w:sz w:val="28"/>
          <w:szCs w:val="28"/>
          <w:lang w:eastAsia="fr-FR"/>
        </w:rPr>
        <w:t xml:space="preserve"> </w:t>
      </w:r>
    </w:p>
    <w:p w14:paraId="4EB03498" w14:textId="5480E231" w:rsidR="00B21B58" w:rsidRDefault="00000000">
      <w:pPr>
        <w:spacing w:before="100" w:after="100" w:line="360" w:lineRule="auto"/>
      </w:pPr>
      <w:r>
        <w:rPr>
          <w:sz w:val="28"/>
          <w:szCs w:val="28"/>
        </w:rPr>
        <w:t xml:space="preserve">    L'objectif principal de </w:t>
      </w:r>
      <w:r w:rsidR="00135491">
        <w:rPr>
          <w:sz w:val="28"/>
          <w:szCs w:val="28"/>
        </w:rPr>
        <w:t>ce rapport et de présenter une</w:t>
      </w:r>
      <w:r>
        <w:rPr>
          <w:sz w:val="28"/>
          <w:szCs w:val="28"/>
        </w:rPr>
        <w:t xml:space="preserve"> analyse </w:t>
      </w:r>
      <w:r w:rsidR="00135491">
        <w:rPr>
          <w:sz w:val="28"/>
          <w:szCs w:val="28"/>
        </w:rPr>
        <w:t xml:space="preserve">quant à l’utilisation de la plateforme tansik.dz et de donner un aperçu sur le plan de déploiement à exécuter afin de permettre à l’ensemble des acteurs concernés dans ce processus d’avoir tous les éléments </w:t>
      </w:r>
      <w:proofErr w:type="gramStart"/>
      <w:r w:rsidR="00135491">
        <w:rPr>
          <w:sz w:val="28"/>
          <w:szCs w:val="28"/>
        </w:rPr>
        <w:t>nécessaires  à</w:t>
      </w:r>
      <w:proofErr w:type="gramEnd"/>
      <w:r w:rsidR="00135491">
        <w:rPr>
          <w:sz w:val="28"/>
          <w:szCs w:val="28"/>
        </w:rPr>
        <w:t xml:space="preserve"> exécution de leur mission . </w:t>
      </w:r>
      <w:proofErr w:type="gramStart"/>
      <w:r w:rsidR="00135491" w:rsidRPr="00135491">
        <w:rPr>
          <w:sz w:val="28"/>
          <w:szCs w:val="28"/>
          <w:highlight w:val="red"/>
        </w:rPr>
        <w:t>sur</w:t>
      </w:r>
      <w:proofErr w:type="gramEnd"/>
      <w:r w:rsidR="00135491" w:rsidRPr="00135491">
        <w:rPr>
          <w:sz w:val="28"/>
          <w:szCs w:val="28"/>
          <w:highlight w:val="red"/>
        </w:rPr>
        <w:t xml:space="preserve"> le et</w:t>
      </w:r>
      <w:r w:rsidRPr="00135491">
        <w:rPr>
          <w:sz w:val="28"/>
          <w:szCs w:val="28"/>
          <w:highlight w:val="red"/>
        </w:rPr>
        <w:t xml:space="preserve"> de fournir une description complète de la situation telle qu'affichée </w:t>
      </w:r>
      <w:r w:rsidR="00D74124" w:rsidRPr="00135491">
        <w:rPr>
          <w:sz w:val="28"/>
          <w:szCs w:val="28"/>
          <w:highlight w:val="red"/>
        </w:rPr>
        <w:t>remontée dans</w:t>
      </w:r>
      <w:r w:rsidRPr="00135491">
        <w:rPr>
          <w:sz w:val="28"/>
          <w:szCs w:val="28"/>
          <w:highlight w:val="red"/>
        </w:rPr>
        <w:t xml:space="preserve"> le tableau de bord du compte superviseur</w:t>
      </w:r>
      <w:r w:rsidR="00135491" w:rsidRPr="00135491">
        <w:rPr>
          <w:sz w:val="28"/>
          <w:szCs w:val="28"/>
          <w:highlight w:val="red"/>
        </w:rPr>
        <w:t xml:space="preserve"> au niveau de la plateforme </w:t>
      </w:r>
      <w:r w:rsidR="00135491" w:rsidRPr="00135491">
        <w:rPr>
          <w:rFonts w:eastAsia="Times New Roman" w:cs="Calibri"/>
          <w:sz w:val="28"/>
          <w:szCs w:val="28"/>
          <w:highlight w:val="red"/>
          <w:lang w:eastAsia="fr-FR"/>
        </w:rPr>
        <w:t>Tansik.dz.</w:t>
      </w:r>
      <w:r w:rsidRPr="00135491">
        <w:rPr>
          <w:sz w:val="28"/>
          <w:szCs w:val="28"/>
          <w:highlight w:val="red"/>
        </w:rPr>
        <w:t xml:space="preserve">.      Ce rapport est destiné à servir de base d'information pour le responsable du point focal de la DGTGCOFE, qui prendra </w:t>
      </w:r>
      <w:r w:rsidR="00D74124" w:rsidRPr="00135491">
        <w:rPr>
          <w:sz w:val="28"/>
          <w:szCs w:val="28"/>
          <w:highlight w:val="red"/>
        </w:rPr>
        <w:t>l</w:t>
      </w:r>
      <w:r w:rsidRPr="00135491">
        <w:rPr>
          <w:sz w:val="28"/>
          <w:szCs w:val="28"/>
          <w:highlight w:val="red"/>
        </w:rPr>
        <w:t>es mesures appropriées en réponse aux différents points soulevés</w:t>
      </w:r>
      <w:r w:rsidR="00D74124" w:rsidRPr="00135491">
        <w:rPr>
          <w:sz w:val="28"/>
          <w:szCs w:val="28"/>
          <w:highlight w:val="red"/>
        </w:rPr>
        <w:t xml:space="preserve"> aux situations présentées</w:t>
      </w:r>
      <w:r w:rsidRPr="00135491">
        <w:rPr>
          <w:rFonts w:eastAsia="Times New Roman" w:cs="Calibri"/>
          <w:sz w:val="28"/>
          <w:szCs w:val="28"/>
          <w:highlight w:val="red"/>
          <w:lang w:eastAsia="fr-FR"/>
        </w:rPr>
        <w:t>.</w:t>
      </w:r>
    </w:p>
    <w:p w14:paraId="58DE8009" w14:textId="77777777" w:rsidR="00B21B58" w:rsidRDefault="00000000">
      <w:pPr>
        <w:spacing w:before="100" w:after="100" w:line="240" w:lineRule="auto"/>
        <w:outlineLvl w:val="1"/>
      </w:pPr>
      <w:r w:rsidRPr="00F834EC">
        <w:rPr>
          <w:rFonts w:eastAsia="Times New Roman" w:cs="Calibri"/>
          <w:b/>
          <w:bCs/>
          <w:sz w:val="36"/>
          <w:szCs w:val="36"/>
          <w:highlight w:val="red"/>
          <w:lang w:eastAsia="fr-FR"/>
        </w:rPr>
        <w:t xml:space="preserve">2.  </w:t>
      </w:r>
      <w:r w:rsidRPr="00F834EC">
        <w:rPr>
          <w:rFonts w:eastAsia="Times New Roman" w:cs="Calibri"/>
          <w:b/>
          <w:bCs/>
          <w:sz w:val="44"/>
          <w:szCs w:val="44"/>
          <w:highlight w:val="red"/>
          <w:lang w:eastAsia="fr-FR"/>
        </w:rPr>
        <w:t>Vue d'ensemble de la situation</w:t>
      </w:r>
    </w:p>
    <w:p w14:paraId="6AE2CAC9" w14:textId="09AFF663" w:rsidR="00B21B58" w:rsidRDefault="00000000" w:rsidP="00F834EC">
      <w:pPr>
        <w:pStyle w:val="Paragraphedeliste"/>
        <w:spacing w:before="100" w:after="100" w:line="240" w:lineRule="auto"/>
        <w:ind w:left="360"/>
      </w:pPr>
      <w:r>
        <w:rPr>
          <w:rFonts w:eastAsia="Times New Roman" w:cs="Calibri"/>
          <w:b/>
          <w:bCs/>
          <w:sz w:val="32"/>
          <w:szCs w:val="32"/>
          <w:lang w:eastAsia="fr-FR"/>
        </w:rPr>
        <w:t xml:space="preserve"> </w:t>
      </w:r>
      <w:r w:rsidR="00D74124">
        <w:rPr>
          <w:rFonts w:eastAsia="Times New Roman" w:cs="Calibri"/>
          <w:b/>
          <w:bCs/>
          <w:sz w:val="32"/>
          <w:szCs w:val="32"/>
          <w:lang w:eastAsia="fr-FR"/>
        </w:rPr>
        <w:t xml:space="preserve">Situation </w:t>
      </w:r>
      <w:r>
        <w:rPr>
          <w:rFonts w:eastAsia="Times New Roman" w:cs="Calibri"/>
          <w:b/>
          <w:bCs/>
          <w:sz w:val="32"/>
          <w:szCs w:val="32"/>
          <w:lang w:eastAsia="fr-FR"/>
        </w:rPr>
        <w:t>Globale :</w:t>
      </w:r>
    </w:p>
    <w:p w14:paraId="198A61FB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Date du remonté d’information :</w:t>
      </w:r>
      <w:r>
        <w:rPr>
          <w:rFonts w:eastAsia="Times New Roman" w:cs="Calibri"/>
          <w:sz w:val="24"/>
          <w:szCs w:val="24"/>
          <w:lang w:eastAsia="fr-FR"/>
        </w:rPr>
        <w:t xml:space="preserve"> 13 mars 2024.</w:t>
      </w:r>
    </w:p>
    <w:p w14:paraId="6CDD8F75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Total de ticket (doléance numérisée) :</w:t>
      </w:r>
      <w:r>
        <w:rPr>
          <w:rFonts w:eastAsia="Times New Roman" w:cs="Calibri"/>
          <w:sz w:val="24"/>
          <w:szCs w:val="24"/>
          <w:lang w:eastAsia="fr-FR"/>
        </w:rPr>
        <w:t xml:space="preserve"> 65.</w:t>
      </w:r>
    </w:p>
    <w:p w14:paraId="0AD55AF7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 xml:space="preserve">Nombre Total de régies supervisées (DRT, TW, </w:t>
      </w:r>
      <w:proofErr w:type="gramStart"/>
      <w:r>
        <w:rPr>
          <w:rFonts w:eastAsia="Times New Roman" w:cs="Calibri"/>
          <w:b/>
          <w:bCs/>
          <w:sz w:val="24"/>
          <w:szCs w:val="24"/>
          <w:lang w:eastAsia="fr-FR"/>
        </w:rPr>
        <w:t>TC,EPS</w:t>
      </w:r>
      <w:proofErr w:type="gramEnd"/>
      <w:r>
        <w:rPr>
          <w:rFonts w:eastAsia="Times New Roman" w:cs="Calibri"/>
          <w:b/>
          <w:bCs/>
          <w:sz w:val="24"/>
          <w:szCs w:val="24"/>
          <w:lang w:eastAsia="fr-FR"/>
        </w:rPr>
        <w:t>) :</w:t>
      </w:r>
      <w:r>
        <w:rPr>
          <w:rFonts w:eastAsia="Times New Roman" w:cs="Calibri"/>
          <w:sz w:val="24"/>
          <w:szCs w:val="24"/>
          <w:lang w:eastAsia="fr-FR"/>
        </w:rPr>
        <w:t xml:space="preserve"> 699.</w:t>
      </w:r>
    </w:p>
    <w:p w14:paraId="360F7918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assignés :53.</w:t>
      </w:r>
    </w:p>
    <w:p w14:paraId="0AA54C83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résolus :03.</w:t>
      </w:r>
    </w:p>
    <w:p w14:paraId="0274F950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lastRenderedPageBreak/>
        <w:t>Nombre de tickets fermés :05.</w:t>
      </w:r>
    </w:p>
    <w:p w14:paraId="5C8D1C9F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non résolus :57.</w:t>
      </w:r>
    </w:p>
    <w:p w14:paraId="2C8FE033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 attente :02.</w:t>
      </w:r>
    </w:p>
    <w:p w14:paraId="2698C63E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entrant :01.</w:t>
      </w:r>
    </w:p>
    <w:p w14:paraId="4DF9F776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planifiés :01.</w:t>
      </w:r>
    </w:p>
    <w:p w14:paraId="099759E3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tickets en retard :</w:t>
      </w:r>
      <w:r>
        <w:rPr>
          <w:rFonts w:eastAsia="Times New Roman" w:cs="Calibri"/>
          <w:b/>
          <w:bCs/>
          <w:color w:val="ED0000"/>
          <w:sz w:val="24"/>
          <w:szCs w:val="24"/>
          <w:lang w:eastAsia="fr-FR"/>
        </w:rPr>
        <w:t>21</w:t>
      </w:r>
    </w:p>
    <w:p w14:paraId="0E602226" w14:textId="77777777" w:rsidR="00B21B58" w:rsidRDefault="00000000">
      <w:pPr>
        <w:numPr>
          <w:ilvl w:val="0"/>
          <w:numId w:val="3"/>
        </w:numPr>
        <w:spacing w:before="100" w:after="100" w:line="240" w:lineRule="auto"/>
      </w:pPr>
      <w:r>
        <w:rPr>
          <w:rFonts w:eastAsia="Times New Roman" w:cs="Calibri"/>
          <w:b/>
          <w:bCs/>
          <w:sz w:val="24"/>
          <w:szCs w:val="24"/>
          <w:lang w:eastAsia="fr-FR"/>
        </w:rPr>
        <w:t>Nombre de requête Médiateur :04</w:t>
      </w:r>
    </w:p>
    <w:p w14:paraId="190AC6A0" w14:textId="6DD60C63" w:rsidR="00B21B58" w:rsidRDefault="00000000">
      <w:pPr>
        <w:spacing w:before="100" w:after="100" w:line="240" w:lineRule="auto"/>
        <w:outlineLvl w:val="2"/>
      </w:pPr>
      <w:r>
        <w:rPr>
          <w:rFonts w:eastAsia="Times New Roman" w:cs="Calibri"/>
          <w:b/>
          <w:bCs/>
          <w:sz w:val="27"/>
          <w:szCs w:val="27"/>
          <w:lang w:eastAsia="fr-FR"/>
        </w:rPr>
        <w:t xml:space="preserve">2.2 </w:t>
      </w:r>
      <w:r w:rsidRPr="00F834EC">
        <w:rPr>
          <w:rFonts w:eastAsia="Times New Roman" w:cs="Calibri"/>
          <w:b/>
          <w:bCs/>
          <w:sz w:val="32"/>
          <w:szCs w:val="32"/>
          <w:highlight w:val="red"/>
          <w:lang w:eastAsia="fr-FR"/>
        </w:rPr>
        <w:t>Évolution</w:t>
      </w:r>
      <w:r>
        <w:rPr>
          <w:rFonts w:eastAsia="Times New Roman" w:cs="Calibri"/>
          <w:b/>
          <w:bCs/>
          <w:sz w:val="32"/>
          <w:szCs w:val="32"/>
          <w:lang w:eastAsia="fr-FR"/>
        </w:rPr>
        <w:t xml:space="preserve"> </w:t>
      </w:r>
      <w:r w:rsidR="00F834EC">
        <w:rPr>
          <w:rFonts w:eastAsia="Times New Roman" w:cs="Calibri"/>
          <w:b/>
          <w:bCs/>
          <w:sz w:val="32"/>
          <w:szCs w:val="32"/>
          <w:lang w:eastAsia="fr-FR"/>
        </w:rPr>
        <w:t xml:space="preserve">Situation </w:t>
      </w:r>
      <w:r>
        <w:rPr>
          <w:rFonts w:eastAsia="Times New Roman" w:cs="Calibri"/>
          <w:b/>
          <w:bCs/>
          <w:sz w:val="32"/>
          <w:szCs w:val="32"/>
          <w:lang w:eastAsia="fr-FR"/>
        </w:rPr>
        <w:t>Actuelle des Requêtes en Retard :</w:t>
      </w: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3"/>
        <w:gridCol w:w="1803"/>
        <w:gridCol w:w="1803"/>
        <w:gridCol w:w="1803"/>
        <w:gridCol w:w="1804"/>
      </w:tblGrid>
      <w:tr w:rsidR="00B21B58" w14:paraId="37A3C56A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2B227" w14:textId="77777777" w:rsidR="00B21B58" w:rsidRDefault="00B21B58">
            <w:pPr>
              <w:spacing w:before="100" w:after="100" w:line="240" w:lineRule="auto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96DB1" w14:textId="77777777" w:rsidR="00B21B58" w:rsidRDefault="00000000">
            <w:pPr>
              <w:spacing w:before="100" w:after="100" w:line="240" w:lineRule="auto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Nombre de requêtes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EBE2" w14:textId="77777777" w:rsidR="00B21B58" w:rsidRDefault="00000000">
            <w:pPr>
              <w:spacing w:before="100" w:after="100" w:line="240" w:lineRule="auto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Code TW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E2A4" w14:textId="77777777" w:rsidR="00B21B58" w:rsidRDefault="00000000">
            <w:pPr>
              <w:spacing w:before="100" w:after="100" w:line="240" w:lineRule="auto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TW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77D" w14:textId="77777777" w:rsidR="00B21B58" w:rsidRDefault="00000000">
            <w:pPr>
              <w:spacing w:before="100" w:after="100" w:line="240" w:lineRule="auto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TC</w:t>
            </w:r>
          </w:p>
        </w:tc>
      </w:tr>
      <w:tr w:rsidR="00B21B58" w14:paraId="0EDC3E04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48DA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A8C3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2B51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57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17A2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Elm’ghaier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8C939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Elm’ghaier</w:t>
            </w:r>
            <w:proofErr w:type="spellEnd"/>
          </w:p>
        </w:tc>
      </w:tr>
      <w:tr w:rsidR="00B21B58" w14:paraId="142E173E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DCA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8C52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1DD2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60131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Saida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90F6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Sidi </w:t>
            </w: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boubekeur</w:t>
            </w:r>
            <w:proofErr w:type="spellEnd"/>
          </w:p>
        </w:tc>
      </w:tr>
      <w:tr w:rsidR="00B21B58" w14:paraId="680E6D7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7240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B1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D30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28CEF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Ain defla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7B0D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Ain defla</w:t>
            </w:r>
          </w:p>
        </w:tc>
      </w:tr>
      <w:tr w:rsidR="00B21B58" w14:paraId="2834FC46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AAD4D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1D7E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3F4B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F5E4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Mascara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F6E8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Mascara</w:t>
            </w:r>
          </w:p>
        </w:tc>
      </w:tr>
      <w:tr w:rsidR="00B21B58" w14:paraId="4C1D5795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C2AE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5(Médiateur)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37FF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009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84BBE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Ouargla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A784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Ouargla</w:t>
            </w:r>
          </w:p>
        </w:tc>
      </w:tr>
      <w:tr w:rsidR="00B21B58" w14:paraId="4E378E5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C6C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4785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70C3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ED290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0C37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</w:tr>
      <w:tr w:rsidR="00B21B58" w14:paraId="502B762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B63F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9AF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6043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8BFC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Bouira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16E0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Bouira</w:t>
            </w:r>
          </w:p>
        </w:tc>
      </w:tr>
      <w:tr w:rsidR="00B21B58" w14:paraId="0E6857D0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00E4F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AE43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17B4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4CA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Oran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A6A9A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 xml:space="preserve">Ain </w:t>
            </w: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turk</w:t>
            </w:r>
            <w:proofErr w:type="spellEnd"/>
          </w:p>
        </w:tc>
      </w:tr>
      <w:tr w:rsidR="00B21B58" w14:paraId="54561173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6D13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E59AE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31A5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3AB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Tipaza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6C06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Tipaza</w:t>
            </w:r>
          </w:p>
        </w:tc>
      </w:tr>
      <w:tr w:rsidR="00B21B58" w14:paraId="30C460E9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83881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10(Médiateur)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6A8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A9B0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05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AD4F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Batna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B0E1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Batna</w:t>
            </w:r>
          </w:p>
        </w:tc>
      </w:tr>
      <w:tr w:rsidR="00B21B58" w14:paraId="2C6E4652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94D2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11(Médiateur)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835BF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CB28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798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Sidibelabess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F1A7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Sidibelabess</w:t>
            </w:r>
            <w:proofErr w:type="spellEnd"/>
          </w:p>
        </w:tc>
      </w:tr>
      <w:tr w:rsidR="00B21B58" w14:paraId="44BAC93C" w14:textId="77777777"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898A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52D21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11518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05D8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Mila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1E4A" w14:textId="77777777" w:rsidR="00B21B58" w:rsidRDefault="00000000">
            <w:pPr>
              <w:spacing w:before="100" w:after="100" w:line="240" w:lineRule="auto"/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sz w:val="24"/>
                <w:szCs w:val="24"/>
                <w:lang w:eastAsia="fr-FR"/>
              </w:rPr>
              <w:t>Rouached</w:t>
            </w:r>
            <w:proofErr w:type="spellEnd"/>
          </w:p>
        </w:tc>
      </w:tr>
    </w:tbl>
    <w:p w14:paraId="4CC6E028" w14:textId="77777777" w:rsidR="00B21B58" w:rsidRDefault="00B21B58">
      <w:pPr>
        <w:spacing w:before="100" w:after="100" w:line="240" w:lineRule="auto"/>
        <w:rPr>
          <w:rFonts w:eastAsia="Times New Roman" w:cs="Calibri"/>
          <w:sz w:val="24"/>
          <w:szCs w:val="24"/>
          <w:lang w:eastAsia="fr-FR"/>
        </w:rPr>
      </w:pPr>
    </w:p>
    <w:p w14:paraId="049244D0" w14:textId="77777777" w:rsidR="00B21B58" w:rsidRDefault="00000000">
      <w:pPr>
        <w:spacing w:before="100" w:after="100" w:line="240" w:lineRule="auto"/>
        <w:outlineLvl w:val="1"/>
      </w:pPr>
      <w:r>
        <w:rPr>
          <w:rFonts w:eastAsia="Times New Roman" w:cs="Calibri"/>
          <w:b/>
          <w:bCs/>
          <w:sz w:val="36"/>
          <w:szCs w:val="36"/>
          <w:lang w:eastAsia="fr-FR"/>
        </w:rPr>
        <w:t xml:space="preserve">3.  </w:t>
      </w:r>
      <w:r>
        <w:rPr>
          <w:rFonts w:eastAsia="Times New Roman" w:cs="Calibri"/>
          <w:b/>
          <w:bCs/>
          <w:sz w:val="44"/>
          <w:szCs w:val="44"/>
          <w:lang w:eastAsia="fr-FR"/>
        </w:rPr>
        <w:t>Analyse des Causes</w:t>
      </w:r>
    </w:p>
    <w:p w14:paraId="7A6690B6" w14:textId="0451098A" w:rsidR="00B21B58" w:rsidRDefault="00000000">
      <w:pPr>
        <w:spacing w:before="100" w:after="100" w:line="240" w:lineRule="auto"/>
        <w:outlineLvl w:val="2"/>
      </w:pPr>
      <w:r>
        <w:rPr>
          <w:rFonts w:eastAsia="Times New Roman" w:cs="Calibri"/>
          <w:b/>
          <w:bCs/>
          <w:sz w:val="27"/>
          <w:szCs w:val="27"/>
          <w:lang w:eastAsia="fr-FR"/>
        </w:rPr>
        <w:t xml:space="preserve">3.1 </w:t>
      </w:r>
      <w:r>
        <w:rPr>
          <w:b/>
          <w:bCs/>
          <w:sz w:val="32"/>
          <w:szCs w:val="32"/>
        </w:rPr>
        <w:t xml:space="preserve">Retard </w:t>
      </w:r>
      <w:r w:rsidR="00D74124">
        <w:rPr>
          <w:b/>
          <w:bCs/>
          <w:color w:val="0070C0"/>
          <w:sz w:val="32"/>
          <w:szCs w:val="32"/>
        </w:rPr>
        <w:t xml:space="preserve">dans la transmission des CD-ROM contenant les mots de passes </w:t>
      </w:r>
      <w:r w:rsidR="00AC046C">
        <w:rPr>
          <w:b/>
          <w:bCs/>
          <w:color w:val="0070C0"/>
          <w:sz w:val="32"/>
          <w:szCs w:val="32"/>
        </w:rPr>
        <w:t>des</w:t>
      </w:r>
      <w:r w:rsidR="00D74124">
        <w:rPr>
          <w:b/>
          <w:bCs/>
          <w:color w:val="0070C0"/>
          <w:sz w:val="32"/>
          <w:szCs w:val="32"/>
        </w:rPr>
        <w:t xml:space="preserve"> utilisateurs </w:t>
      </w:r>
      <w:r w:rsidRPr="00D74124">
        <w:rPr>
          <w:b/>
          <w:bCs/>
          <w:sz w:val="32"/>
          <w:szCs w:val="32"/>
          <w:highlight w:val="red"/>
        </w:rPr>
        <w:t>de réception des comptes superviseurs par les utilisateurs finaux :</w:t>
      </w:r>
    </w:p>
    <w:p w14:paraId="4BCA9C50" w14:textId="77777777" w:rsidR="00B21B58" w:rsidRPr="00AC046C" w:rsidRDefault="00000000">
      <w:pPr>
        <w:numPr>
          <w:ilvl w:val="0"/>
          <w:numId w:val="4"/>
        </w:numPr>
        <w:tabs>
          <w:tab w:val="left" w:pos="720"/>
        </w:tabs>
        <w:spacing w:before="100" w:after="100" w:line="360" w:lineRule="auto"/>
        <w:ind w:left="714" w:hanging="357"/>
        <w:jc w:val="both"/>
        <w:rPr>
          <w:highlight w:val="red"/>
        </w:rPr>
      </w:pPr>
      <w:r>
        <w:t xml:space="preserve"> </w:t>
      </w:r>
      <w:r w:rsidRPr="00AC046C">
        <w:rPr>
          <w:sz w:val="28"/>
          <w:szCs w:val="28"/>
          <w:highlight w:val="red"/>
        </w:rPr>
        <w:t xml:space="preserve">Suite aux recommandations formulées dans la fiche technique des services du Médiateur de la république, concernant le mode de transmission des paramètres d’accès à la solution tansik, et qui ont </w:t>
      </w:r>
      <w:r w:rsidRPr="00AC046C">
        <w:rPr>
          <w:sz w:val="28"/>
          <w:szCs w:val="28"/>
          <w:highlight w:val="red"/>
        </w:rPr>
        <w:lastRenderedPageBreak/>
        <w:t>expressément interdit leurs transferts électroniques, les utilisateurs finaux ont reçu leurs paramètres d’accès à travers un cd-rom, Cette approche a engendré le non-accès à ces informations.</w:t>
      </w:r>
    </w:p>
    <w:p w14:paraId="36DB8F31" w14:textId="5932DD26" w:rsidR="00B21B58" w:rsidRDefault="00000000">
      <w:pPr>
        <w:spacing w:before="100" w:after="100" w:line="240" w:lineRule="auto"/>
        <w:outlineLvl w:val="2"/>
        <w:rPr>
          <w:rFonts w:eastAsia="Times New Roman" w:cs="Calibri"/>
          <w:b/>
          <w:bCs/>
          <w:color w:val="0070C0"/>
          <w:sz w:val="32"/>
          <w:szCs w:val="32"/>
          <w:lang w:eastAsia="fr-FR"/>
        </w:rPr>
      </w:pPr>
      <w:r>
        <w:rPr>
          <w:rFonts w:eastAsia="Times New Roman" w:cs="Calibri"/>
          <w:b/>
          <w:bCs/>
          <w:sz w:val="32"/>
          <w:szCs w:val="32"/>
          <w:lang w:eastAsia="fr-FR"/>
        </w:rPr>
        <w:t>3.2</w:t>
      </w:r>
      <w:r>
        <w:rPr>
          <w:rFonts w:eastAsia="Times New Roman" w:cs="Calibri"/>
          <w:b/>
          <w:bCs/>
          <w:sz w:val="24"/>
          <w:szCs w:val="24"/>
          <w:lang w:eastAsia="fr-FR"/>
        </w:rPr>
        <w:t xml:space="preserve"> </w:t>
      </w:r>
      <w:r w:rsidR="00D74124" w:rsidRPr="00D74124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Indisponibilité de connexion internet dans certaines structures déconce</w:t>
      </w:r>
      <w:r w:rsidR="00D74124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n</w:t>
      </w:r>
      <w:r w:rsidR="00D74124" w:rsidRPr="00D74124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trées</w:t>
      </w:r>
      <w:r w:rsidRPr="00D74124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 :</w:t>
      </w:r>
    </w:p>
    <w:p w14:paraId="4F152267" w14:textId="7BEFF6F5" w:rsidR="00AC046C" w:rsidRPr="008B5DE9" w:rsidRDefault="00AC046C">
      <w:pPr>
        <w:spacing w:before="100" w:after="100" w:line="240" w:lineRule="auto"/>
        <w:outlineLvl w:val="2"/>
        <w:rPr>
          <w:rFonts w:eastAsia="Times New Roman" w:cs="Calibri"/>
          <w:b/>
          <w:bCs/>
          <w:color w:val="0070C0"/>
          <w:sz w:val="32"/>
          <w:szCs w:val="32"/>
          <w:lang w:eastAsia="fr-FR"/>
        </w:rPr>
      </w:pPr>
      <w:r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 xml:space="preserve"> </w:t>
      </w:r>
      <w:proofErr w:type="gramStart"/>
      <w:r w:rsidR="008B5DE9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les</w:t>
      </w:r>
      <w:proofErr w:type="gramEnd"/>
      <w:r w:rsidR="008B5DE9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 xml:space="preserve"> services déconcentrés ne disposons de service internet doivent être identifiés afin de charger les structures concernées à prendre les dispositions nécessaires</w:t>
      </w:r>
    </w:p>
    <w:p w14:paraId="20111462" w14:textId="77777777" w:rsidR="00B21B58" w:rsidRPr="00D74124" w:rsidRDefault="00000000">
      <w:pPr>
        <w:numPr>
          <w:ilvl w:val="0"/>
          <w:numId w:val="5"/>
        </w:numPr>
        <w:tabs>
          <w:tab w:val="left" w:pos="720"/>
        </w:tabs>
        <w:spacing w:before="100" w:after="100" w:line="360" w:lineRule="auto"/>
        <w:ind w:left="714" w:hanging="357"/>
        <w:jc w:val="both"/>
        <w:rPr>
          <w:highlight w:val="red"/>
        </w:rPr>
      </w:pPr>
      <w:r w:rsidRPr="00D74124">
        <w:rPr>
          <w:sz w:val="28"/>
          <w:szCs w:val="28"/>
          <w:highlight w:val="red"/>
        </w:rPr>
        <w:t>Les problèmes de connexion ou l'absence d'accès à Internet dans certaines résidences administratives peuvent constituer une entrave au processus de traitement et de supervision.</w:t>
      </w:r>
    </w:p>
    <w:p w14:paraId="5A14B327" w14:textId="12FA4FFC" w:rsidR="00AC046C" w:rsidRPr="00AC046C" w:rsidRDefault="00AC046C" w:rsidP="00AC046C">
      <w:pPr>
        <w:spacing w:before="100" w:after="100" w:line="240" w:lineRule="auto"/>
        <w:outlineLvl w:val="2"/>
        <w:rPr>
          <w:rFonts w:eastAsia="Times New Roman" w:cs="Calibri"/>
          <w:b/>
          <w:bCs/>
          <w:color w:val="0070C0"/>
          <w:sz w:val="32"/>
          <w:szCs w:val="32"/>
          <w:lang w:eastAsia="fr-FR"/>
        </w:rPr>
      </w:pPr>
      <w:r w:rsidRPr="00AC046C"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>Le manque de détail sur l’utilisation de la plateforme dans les guides transmis par le médiateur de la république</w:t>
      </w:r>
      <w:r>
        <w:rPr>
          <w:rFonts w:eastAsia="Times New Roman" w:cs="Calibri"/>
          <w:b/>
          <w:bCs/>
          <w:color w:val="0070C0"/>
          <w:sz w:val="32"/>
          <w:szCs w:val="32"/>
          <w:lang w:eastAsia="fr-FR"/>
        </w:rPr>
        <w:t xml:space="preserve"> </w:t>
      </w:r>
    </w:p>
    <w:p w14:paraId="46D95154" w14:textId="77777777" w:rsidR="00AC046C" w:rsidRDefault="00AC046C">
      <w:pPr>
        <w:spacing w:before="100" w:after="100" w:line="360" w:lineRule="auto"/>
        <w:ind w:left="714"/>
        <w:jc w:val="both"/>
        <w:rPr>
          <w:rFonts w:eastAsia="Times New Roman" w:cs="Calibri"/>
          <w:sz w:val="28"/>
          <w:szCs w:val="28"/>
          <w:lang w:eastAsia="fr-FR"/>
        </w:rPr>
      </w:pPr>
    </w:p>
    <w:p w14:paraId="3C03A35E" w14:textId="1A11E7B3" w:rsidR="00B21B58" w:rsidRPr="00AC046C" w:rsidRDefault="00000000">
      <w:pPr>
        <w:spacing w:before="100" w:after="100" w:line="240" w:lineRule="auto"/>
        <w:outlineLvl w:val="2"/>
        <w:rPr>
          <w:rFonts w:eastAsia="Times New Roman" w:cs="Calibri"/>
          <w:b/>
          <w:bCs/>
          <w:sz w:val="32"/>
          <w:szCs w:val="32"/>
          <w:highlight w:val="red"/>
          <w:lang w:eastAsia="fr-FR"/>
        </w:rPr>
      </w:pPr>
      <w:r w:rsidRPr="00AC046C">
        <w:rPr>
          <w:rFonts w:eastAsia="Times New Roman" w:cs="Calibri"/>
          <w:b/>
          <w:bCs/>
          <w:sz w:val="32"/>
          <w:szCs w:val="32"/>
          <w:highlight w:val="red"/>
          <w:lang w:eastAsia="fr-FR"/>
        </w:rPr>
        <w:t>Besoin de Formation des utilisateurs</w:t>
      </w:r>
    </w:p>
    <w:p w14:paraId="729F16CD" w14:textId="77777777" w:rsidR="00B21B58" w:rsidRPr="00AC046C" w:rsidRDefault="00000000">
      <w:pPr>
        <w:numPr>
          <w:ilvl w:val="0"/>
          <w:numId w:val="6"/>
        </w:numPr>
        <w:tabs>
          <w:tab w:val="left" w:pos="720"/>
        </w:tabs>
        <w:spacing w:before="100" w:after="100" w:line="360" w:lineRule="auto"/>
        <w:ind w:left="714" w:hanging="357"/>
        <w:jc w:val="both"/>
        <w:rPr>
          <w:highlight w:val="red"/>
        </w:rPr>
      </w:pPr>
      <w:r w:rsidRPr="00AC046C">
        <w:rPr>
          <w:sz w:val="28"/>
          <w:szCs w:val="28"/>
          <w:highlight w:val="red"/>
        </w:rPr>
        <w:t>En raison d'un manque d'information et de compétences, les utilisateurs peuvent éprouver une certaine réticence à utiliser la solution en question. Toutefois, il est impératif d'organiser une formation à distance pour surmonter ces obstacles</w:t>
      </w:r>
      <w:r w:rsidRPr="00AC046C">
        <w:rPr>
          <w:rFonts w:eastAsia="Times New Roman" w:cs="Calibri"/>
          <w:sz w:val="28"/>
          <w:szCs w:val="28"/>
          <w:highlight w:val="red"/>
          <w:lang w:eastAsia="fr-FR"/>
        </w:rPr>
        <w:t>.</w:t>
      </w:r>
    </w:p>
    <w:p w14:paraId="5C3AA584" w14:textId="2F642261" w:rsidR="00B21B58" w:rsidRDefault="00000000">
      <w:pPr>
        <w:spacing w:before="100" w:after="100" w:line="240" w:lineRule="auto"/>
        <w:outlineLvl w:val="1"/>
        <w:rPr>
          <w:rFonts w:eastAsia="Times New Roman" w:cs="Calibri"/>
          <w:b/>
          <w:bCs/>
          <w:sz w:val="44"/>
          <w:szCs w:val="44"/>
          <w:lang w:eastAsia="fr-FR"/>
        </w:rPr>
      </w:pPr>
      <w:r>
        <w:rPr>
          <w:rFonts w:eastAsia="Times New Roman" w:cs="Calibri"/>
          <w:b/>
          <w:bCs/>
          <w:sz w:val="44"/>
          <w:szCs w:val="44"/>
          <w:lang w:eastAsia="fr-FR"/>
        </w:rPr>
        <w:t xml:space="preserve">4.  </w:t>
      </w:r>
      <w:r w:rsidR="00AC046C" w:rsidRPr="00AC046C">
        <w:rPr>
          <w:rFonts w:eastAsia="Times New Roman" w:cs="Calibri"/>
          <w:b/>
          <w:bCs/>
          <w:color w:val="0070C0"/>
          <w:sz w:val="44"/>
          <w:szCs w:val="44"/>
          <w:lang w:eastAsia="fr-FR"/>
        </w:rPr>
        <w:t>Plan de déploiement</w:t>
      </w:r>
    </w:p>
    <w:p w14:paraId="50EC9A49" w14:textId="77777777" w:rsidR="00B21B58" w:rsidRDefault="00000000">
      <w:pPr>
        <w:spacing w:before="100" w:after="100" w:line="240" w:lineRule="auto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>
        <w:rPr>
          <w:rFonts w:eastAsia="Times New Roman" w:cs="Calibri"/>
          <w:b/>
          <w:bCs/>
          <w:sz w:val="32"/>
          <w:szCs w:val="32"/>
          <w:lang w:eastAsia="fr-FR"/>
        </w:rPr>
        <w:t>4.1. Déploiement :</w:t>
      </w:r>
    </w:p>
    <w:p w14:paraId="1FE7BA7D" w14:textId="0D88CAFC" w:rsidR="00B21B58" w:rsidRPr="00AC046C" w:rsidRDefault="00000000">
      <w:pPr>
        <w:pStyle w:val="NormalWeb"/>
        <w:numPr>
          <w:ilvl w:val="0"/>
          <w:numId w:val="7"/>
        </w:numPr>
        <w:tabs>
          <w:tab w:val="left" w:pos="720"/>
        </w:tabs>
        <w:spacing w:line="360" w:lineRule="auto"/>
        <w:ind w:left="714" w:hanging="357"/>
        <w:rPr>
          <w:rFonts w:ascii="Calibri" w:hAnsi="Calibri" w:cs="Calibri"/>
          <w:color w:val="0070C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Planifier un déploiement progressif en commençant par les sites pilotes, à savoir les 13 Directions Régionales du Trésor (</w:t>
      </w:r>
      <w:proofErr w:type="spellStart"/>
      <w:r>
        <w:rPr>
          <w:rFonts w:ascii="Calibri" w:hAnsi="Calibri" w:cs="Calibri"/>
          <w:sz w:val="28"/>
          <w:szCs w:val="28"/>
        </w:rPr>
        <w:t>DRTs</w:t>
      </w:r>
      <w:proofErr w:type="spellEnd"/>
      <w:r>
        <w:rPr>
          <w:rFonts w:ascii="Calibri" w:hAnsi="Calibri" w:cs="Calibri"/>
          <w:sz w:val="28"/>
          <w:szCs w:val="28"/>
        </w:rPr>
        <w:t xml:space="preserve">), qui joueront ensuite le rôle de formateurs </w:t>
      </w:r>
      <w:r w:rsidRPr="00AC046C">
        <w:rPr>
          <w:rFonts w:ascii="Calibri" w:hAnsi="Calibri" w:cs="Calibri"/>
          <w:color w:val="0070C0"/>
          <w:sz w:val="28"/>
          <w:szCs w:val="28"/>
        </w:rPr>
        <w:t xml:space="preserve">pour </w:t>
      </w:r>
      <w:r w:rsidR="00AC046C" w:rsidRPr="00AC046C">
        <w:rPr>
          <w:rFonts w:ascii="Calibri" w:hAnsi="Calibri" w:cs="Calibri"/>
          <w:color w:val="0070C0"/>
          <w:sz w:val="28"/>
          <w:szCs w:val="28"/>
        </w:rPr>
        <w:t>les trésoreries principales et secondaires rattachées.</w:t>
      </w:r>
    </w:p>
    <w:p w14:paraId="60C376CB" w14:textId="45B12C6D" w:rsidR="00AC046C" w:rsidRDefault="00000000" w:rsidP="00AC046C">
      <w:pPr>
        <w:spacing w:before="100" w:after="100" w:line="240" w:lineRule="auto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>
        <w:rPr>
          <w:rFonts w:eastAsia="Times New Roman" w:cs="Calibri"/>
          <w:b/>
          <w:bCs/>
          <w:sz w:val="32"/>
          <w:szCs w:val="32"/>
          <w:lang w:eastAsia="fr-FR"/>
        </w:rPr>
        <w:t>4.2. Sensibilisation :</w:t>
      </w:r>
    </w:p>
    <w:p w14:paraId="248E0ABF" w14:textId="4FA8D61E" w:rsidR="00AC046C" w:rsidRPr="00AC046C" w:rsidRDefault="00AC046C" w:rsidP="00AC046C">
      <w:pPr>
        <w:pStyle w:val="NormalWeb"/>
        <w:numPr>
          <w:ilvl w:val="0"/>
          <w:numId w:val="7"/>
        </w:numPr>
        <w:tabs>
          <w:tab w:val="left" w:pos="720"/>
        </w:tabs>
        <w:spacing w:line="360" w:lineRule="auto"/>
        <w:ind w:left="714" w:hanging="357"/>
        <w:rPr>
          <w:rFonts w:ascii="Calibri" w:hAnsi="Calibri" w:cs="Calibri"/>
          <w:color w:val="0070C0"/>
          <w:sz w:val="28"/>
          <w:szCs w:val="28"/>
        </w:rPr>
      </w:pPr>
      <w:r w:rsidRPr="00AC046C">
        <w:rPr>
          <w:rFonts w:ascii="Calibri" w:hAnsi="Calibri" w:cs="Calibri"/>
          <w:color w:val="0070C0"/>
          <w:sz w:val="28"/>
          <w:szCs w:val="28"/>
        </w:rPr>
        <w:lastRenderedPageBreak/>
        <w:t xml:space="preserve">    Se</w:t>
      </w:r>
      <w:r>
        <w:rPr>
          <w:rFonts w:ascii="Calibri" w:hAnsi="Calibri" w:cs="Calibri"/>
          <w:color w:val="0070C0"/>
          <w:sz w:val="28"/>
          <w:szCs w:val="28"/>
        </w:rPr>
        <w:t>nsibiliser les structures concernées à la nécessité de prendre en charge les doléances des citoyens et du suivi jusqu’à aboutissement à la clôtures (réponse finale</w:t>
      </w:r>
      <w:proofErr w:type="gramStart"/>
      <w:r>
        <w:rPr>
          <w:rFonts w:ascii="Calibri" w:hAnsi="Calibri" w:cs="Calibri"/>
          <w:color w:val="0070C0"/>
          <w:sz w:val="28"/>
          <w:szCs w:val="28"/>
        </w:rPr>
        <w:t>) ,</w:t>
      </w:r>
      <w:proofErr w:type="gramEnd"/>
      <w:r>
        <w:rPr>
          <w:rFonts w:ascii="Calibri" w:hAnsi="Calibri" w:cs="Calibri"/>
          <w:color w:val="0070C0"/>
          <w:sz w:val="28"/>
          <w:szCs w:val="28"/>
        </w:rPr>
        <w:t xml:space="preserve"> la sensibilisation peut se matérialiser par des écrits signés par les responsables de la structures </w:t>
      </w:r>
    </w:p>
    <w:p w14:paraId="3E3BF454" w14:textId="77777777" w:rsidR="00B21B58" w:rsidRDefault="00000000">
      <w:pPr>
        <w:spacing w:before="100" w:after="100" w:line="240" w:lineRule="auto"/>
        <w:outlineLvl w:val="2"/>
        <w:rPr>
          <w:rFonts w:eastAsia="Times New Roman" w:cs="Calibri"/>
          <w:b/>
          <w:bCs/>
          <w:sz w:val="32"/>
          <w:szCs w:val="32"/>
          <w:lang w:eastAsia="fr-FR"/>
        </w:rPr>
      </w:pPr>
      <w:r>
        <w:rPr>
          <w:rFonts w:eastAsia="Times New Roman" w:cs="Calibri"/>
          <w:b/>
          <w:bCs/>
          <w:sz w:val="32"/>
          <w:szCs w:val="32"/>
          <w:lang w:eastAsia="fr-FR"/>
        </w:rPr>
        <w:t>4.3.  Formation :</w:t>
      </w:r>
    </w:p>
    <w:p w14:paraId="1D191196" w14:textId="4EE6BBA8" w:rsidR="00B21B58" w:rsidRDefault="00000000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ind w:left="714" w:hanging="357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Organiser une session de formation </w:t>
      </w:r>
      <w:r w:rsidRPr="00135491">
        <w:rPr>
          <w:rFonts w:eastAsia="Times New Roman" w:cs="Calibri"/>
          <w:sz w:val="28"/>
          <w:szCs w:val="28"/>
          <w:highlight w:val="red"/>
          <w:lang w:eastAsia="fr-FR"/>
        </w:rPr>
        <w:t>à travers la vidéo</w:t>
      </w:r>
      <w:r>
        <w:rPr>
          <w:rFonts w:eastAsia="Times New Roman" w:cs="Calibri"/>
          <w:sz w:val="28"/>
          <w:szCs w:val="28"/>
          <w:lang w:eastAsia="fr-FR"/>
        </w:rPr>
        <w:t xml:space="preserve"> </w:t>
      </w:r>
      <w:r w:rsidR="00135491">
        <w:rPr>
          <w:rFonts w:eastAsia="Times New Roman" w:cs="Calibri"/>
          <w:sz w:val="28"/>
          <w:szCs w:val="28"/>
          <w:lang w:eastAsia="fr-FR"/>
        </w:rPr>
        <w:t>une visio-conférence</w:t>
      </w:r>
      <w:r>
        <w:rPr>
          <w:rFonts w:eastAsia="Times New Roman" w:cs="Calibri"/>
          <w:sz w:val="28"/>
          <w:szCs w:val="28"/>
          <w:lang w:eastAsia="fr-FR"/>
        </w:rPr>
        <w:t>, afin de</w:t>
      </w:r>
      <w:r w:rsidR="00135491">
        <w:rPr>
          <w:rFonts w:eastAsia="Times New Roman" w:cs="Calibri"/>
          <w:sz w:val="28"/>
          <w:szCs w:val="28"/>
          <w:lang w:eastAsia="fr-FR"/>
        </w:rPr>
        <w:t> :</w:t>
      </w:r>
    </w:p>
    <w:p w14:paraId="13E39B13" w14:textId="08603E74" w:rsidR="00135491" w:rsidRDefault="00135491" w:rsidP="00135491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Former les formateurs à l’utilisation de la plateforme </w:t>
      </w:r>
    </w:p>
    <w:p w14:paraId="57AFC6E0" w14:textId="56796E83" w:rsidR="00135491" w:rsidRDefault="00135491" w:rsidP="00135491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Répondre aux demandes d’explications des utilisateurs </w:t>
      </w:r>
    </w:p>
    <w:p w14:paraId="6720AA77" w14:textId="5BF98B5F" w:rsidR="00135491" w:rsidRDefault="00135491" w:rsidP="00135491">
      <w:pPr>
        <w:pStyle w:val="Paragraphedeliste"/>
        <w:numPr>
          <w:ilvl w:val="0"/>
          <w:numId w:val="10"/>
        </w:numPr>
        <w:tabs>
          <w:tab w:val="left" w:pos="720"/>
        </w:tabs>
        <w:spacing w:before="100" w:after="100" w:line="360" w:lineRule="auto"/>
        <w:rPr>
          <w:rFonts w:eastAsia="Times New Roman" w:cs="Calibri"/>
          <w:sz w:val="28"/>
          <w:szCs w:val="28"/>
          <w:lang w:eastAsia="fr-FR"/>
        </w:rPr>
      </w:pPr>
      <w:r>
        <w:rPr>
          <w:rFonts w:eastAsia="Times New Roman" w:cs="Calibri"/>
          <w:sz w:val="28"/>
          <w:szCs w:val="28"/>
          <w:lang w:eastAsia="fr-FR"/>
        </w:rPr>
        <w:t xml:space="preserve">Présenter la stratégie de déploiement </w:t>
      </w:r>
    </w:p>
    <w:p w14:paraId="65C45D83" w14:textId="34C53F95" w:rsidR="00B21B58" w:rsidRPr="00135491" w:rsidRDefault="00AC046C" w:rsidP="00135491">
      <w:pPr>
        <w:numPr>
          <w:ilvl w:val="0"/>
          <w:numId w:val="9"/>
        </w:numPr>
        <w:tabs>
          <w:tab w:val="left" w:pos="720"/>
        </w:tabs>
        <w:spacing w:before="100" w:after="100" w:line="360" w:lineRule="auto"/>
        <w:rPr>
          <w:rFonts w:cs="Calibri"/>
        </w:rPr>
      </w:pPr>
      <w:r w:rsidRPr="00135491">
        <w:rPr>
          <w:rFonts w:eastAsia="Times New Roman" w:cs="Calibri"/>
          <w:sz w:val="28"/>
          <w:szCs w:val="28"/>
          <w:highlight w:val="red"/>
          <w:lang w:eastAsia="fr-FR"/>
        </w:rPr>
        <w:t xml:space="preserve">Distribuer </w:t>
      </w:r>
      <w:r w:rsidR="00135491" w:rsidRPr="00135491">
        <w:rPr>
          <w:rFonts w:eastAsia="Times New Roman" w:cs="Calibri"/>
          <w:sz w:val="28"/>
          <w:szCs w:val="28"/>
          <w:highlight w:val="red"/>
          <w:lang w:eastAsia="fr-FR"/>
        </w:rPr>
        <w:t>le</w:t>
      </w:r>
      <w:r w:rsidR="00135491" w:rsidRPr="00135491">
        <w:rPr>
          <w:rFonts w:eastAsia="Times New Roman" w:cs="Calibri"/>
          <w:sz w:val="28"/>
          <w:szCs w:val="28"/>
          <w:lang w:eastAsia="fr-FR"/>
        </w:rPr>
        <w:t xml:space="preserve"> Mettre à la disposition </w:t>
      </w:r>
      <w:proofErr w:type="gramStart"/>
      <w:r w:rsidR="00135491" w:rsidRPr="00135491">
        <w:rPr>
          <w:rFonts w:eastAsia="Times New Roman" w:cs="Calibri"/>
          <w:sz w:val="28"/>
          <w:szCs w:val="28"/>
          <w:lang w:eastAsia="fr-FR"/>
        </w:rPr>
        <w:t>des  utilisateurs</w:t>
      </w:r>
      <w:proofErr w:type="gramEnd"/>
      <w:r w:rsidR="00135491" w:rsidRPr="00135491">
        <w:rPr>
          <w:rFonts w:eastAsia="Times New Roman" w:cs="Calibri"/>
          <w:sz w:val="28"/>
          <w:szCs w:val="28"/>
          <w:lang w:eastAsia="fr-FR"/>
        </w:rPr>
        <w:t xml:space="preserve"> les </w:t>
      </w:r>
      <w:r w:rsidRPr="00135491">
        <w:rPr>
          <w:rFonts w:eastAsia="Times New Roman" w:cs="Calibri"/>
          <w:sz w:val="28"/>
          <w:szCs w:val="28"/>
          <w:lang w:eastAsia="fr-FR"/>
        </w:rPr>
        <w:t xml:space="preserve">guides d’utilisation et un tutoriel vidéo </w:t>
      </w:r>
      <w:r w:rsidR="00135491">
        <w:rPr>
          <w:rFonts w:eastAsia="Times New Roman" w:cs="Calibri"/>
          <w:sz w:val="28"/>
          <w:szCs w:val="28"/>
          <w:lang w:eastAsia="fr-FR"/>
        </w:rPr>
        <w:t xml:space="preserve"> </w:t>
      </w:r>
    </w:p>
    <w:sectPr w:rsidR="00B21B58" w:rsidRPr="00135491">
      <w:footerReference w:type="defaul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8387" w14:textId="77777777" w:rsidR="0030011E" w:rsidRDefault="0030011E">
      <w:pPr>
        <w:spacing w:after="0" w:line="240" w:lineRule="auto"/>
      </w:pPr>
      <w:r>
        <w:separator/>
      </w:r>
    </w:p>
  </w:endnote>
  <w:endnote w:type="continuationSeparator" w:id="0">
    <w:p w14:paraId="651BF2FC" w14:textId="77777777" w:rsidR="0030011E" w:rsidRDefault="0030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4B5" w14:textId="77777777" w:rsidR="00E46B09" w:rsidRDefault="00000000">
    <w:pPr>
      <w:pStyle w:val="Pieddepage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889D0F" wp14:editId="68FE26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8302" cy="274320"/>
              <wp:effectExtent l="0" t="0" r="12698" b="11430"/>
              <wp:wrapNone/>
              <wp:docPr id="2136816830" name="Rectangle : carré corné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302" cy="274320"/>
                      </a:xfrm>
                      <a:custGeom>
                        <a:avLst>
                          <a:gd name="f5" fmla="val 34560"/>
                        </a:avLst>
                        <a:gdLst>
                          <a:gd name="f1" fmla="val w"/>
                          <a:gd name="f2" fmla="val h"/>
                          <a:gd name="f3" fmla="val ss"/>
                          <a:gd name="f4" fmla="val 0"/>
                          <a:gd name="f5" fmla="val 34560"/>
                          <a:gd name="f6" fmla="abs f1"/>
                          <a:gd name="f7" fmla="abs f2"/>
                          <a:gd name="f8" fmla="abs f3"/>
                          <a:gd name="f9" fmla="val f4"/>
                          <a:gd name="f10" fmla="val f5"/>
                          <a:gd name="f11" fmla="?: f6 f1 1"/>
                          <a:gd name="f12" fmla="?: f7 f2 1"/>
                          <a:gd name="f13" fmla="?: f8 f3 1"/>
                          <a:gd name="f14" fmla="*/ f11 1 21600"/>
                          <a:gd name="f15" fmla="*/ f12 1 21600"/>
                          <a:gd name="f16" fmla="*/ 21600 f11 1"/>
                          <a:gd name="f17" fmla="*/ 21600 f12 1"/>
                          <a:gd name="f18" fmla="min f15 f14"/>
                          <a:gd name="f19" fmla="*/ f16 1 f13"/>
                          <a:gd name="f20" fmla="*/ f17 1 f13"/>
                          <a:gd name="f21" fmla="val f19"/>
                          <a:gd name="f22" fmla="val f20"/>
                          <a:gd name="f23" fmla="*/ f9 f18 1"/>
                          <a:gd name="f24" fmla="+- f22 0 f9"/>
                          <a:gd name="f25" fmla="+- f21 0 f9"/>
                          <a:gd name="f26" fmla="*/ f21 f18 1"/>
                          <a:gd name="f27" fmla="*/ f22 f18 1"/>
                          <a:gd name="f28" fmla="min f25 f24"/>
                          <a:gd name="f29" fmla="*/ f28 f10 1"/>
                          <a:gd name="f30" fmla="*/ f29 1 100000"/>
                          <a:gd name="f31" fmla="*/ f30 1 5"/>
                          <a:gd name="f32" fmla="+- f21 0 f30"/>
                          <a:gd name="f33" fmla="+- f22 0 f30"/>
                          <a:gd name="f34" fmla="+- f32 f31 0"/>
                          <a:gd name="f35" fmla="+- f33 f31 0"/>
                          <a:gd name="f36" fmla="*/ f33 f18 1"/>
                          <a:gd name="f37" fmla="*/ f32 f18 1"/>
                          <a:gd name="f38" fmla="*/ f34 f18 1"/>
                          <a:gd name="f39" fmla="*/ f35 f18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3" t="f23" r="f26" b="f36"/>
                        <a:pathLst>
                          <a:path stroke="0">
                            <a:moveTo>
                              <a:pt x="f23" y="f23"/>
                            </a:moveTo>
                            <a:lnTo>
                              <a:pt x="f26" y="f23"/>
                            </a:lnTo>
                            <a:lnTo>
                              <a:pt x="f26" y="f36"/>
                            </a:lnTo>
                            <a:lnTo>
                              <a:pt x="f37" y="f27"/>
                            </a:lnTo>
                            <a:lnTo>
                              <a:pt x="f23" y="f27"/>
                            </a:lnTo>
                            <a:close/>
                          </a:path>
                          <a:path stroke="0">
                            <a:moveTo>
                              <a:pt x="f37" y="f27"/>
                            </a:moveTo>
                            <a:lnTo>
                              <a:pt x="f38" y="f39"/>
                            </a:lnTo>
                            <a:lnTo>
                              <a:pt x="f26" y="f36"/>
                            </a:lnTo>
                            <a:close/>
                          </a:path>
                          <a:path fill="none">
                            <a:moveTo>
                              <a:pt x="f37" y="f27"/>
                            </a:moveTo>
                            <a:lnTo>
                              <a:pt x="f38" y="f39"/>
                            </a:lnTo>
                            <a:lnTo>
                              <a:pt x="f26" y="f36"/>
                            </a:lnTo>
                            <a:lnTo>
                              <a:pt x="f37" y="f27"/>
                            </a:lnTo>
                            <a:lnTo>
                              <a:pt x="f23" y="f27"/>
                            </a:lnTo>
                            <a:lnTo>
                              <a:pt x="f23" y="f23"/>
                            </a:lnTo>
                            <a:lnTo>
                              <a:pt x="f26" y="f23"/>
                            </a:lnTo>
                            <a:lnTo>
                              <a:pt x="f26" y="f36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3172" cap="flat">
                        <a:solidFill>
                          <a:srgbClr val="808080"/>
                        </a:solidFill>
                        <a:prstDash val="solid"/>
                        <a:round/>
                      </a:ln>
                    </wps:spPr>
                    <wps:txbx>
                      <w:txbxContent>
                        <w:p w14:paraId="79117B91" w14:textId="77777777" w:rsidR="00E46B09" w:rsidRDefault="00000000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 xmlns="">
          <w:pict>
            <v:shape w14:anchorId="59889D0F" id="Rectangle : carré corné 1" o:spid="_x0000_s1026" style="position:absolute;margin-left:0;margin-top:0;width:29pt;height:21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68302,274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" adj="-11796480,,5400" path="m,nsl368302,r,179515l273497,274320,,274320,,xem273497,274320nsl292458,198476r75844,-18961l273497,274320xem273497,274320nfl292458,198476r75844,-18961l273497,274320,,274320,,,368302,r,179515e" strokecolor="gray" strokeweight=".08811mm">
              <v:stroke joinstyle="round"/>
              <v:formulas/>
              <v:path arrowok="t" o:connecttype="custom" o:connectlocs="184151,0;368302,137160;184151,274320;0,137160" o:connectangles="270,0,90,180" textboxrect="0,0,368302,179515"/>
              <v:textbox>
                <w:txbxContent>
                  <w:p w14:paraId="79117B91" w14:textId="77777777" w:rsidR="00000000" w:rsidRDefault="00000000">
                    <w:pPr>
                      <w:jc w:val="center"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bCs/>
      </w:rPr>
      <w:t xml:space="preserve">                                                                       Mars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95C9" w14:textId="77777777" w:rsidR="0030011E" w:rsidRDefault="0030011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CFB7633" w14:textId="77777777" w:rsidR="0030011E" w:rsidRDefault="00300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3FD"/>
    <w:multiLevelType w:val="multilevel"/>
    <w:tmpl w:val="51C6AB8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9870C01"/>
    <w:multiLevelType w:val="multilevel"/>
    <w:tmpl w:val="5DA02E8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F5C1E2A"/>
    <w:multiLevelType w:val="multilevel"/>
    <w:tmpl w:val="F384B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C640E"/>
    <w:multiLevelType w:val="hybridMultilevel"/>
    <w:tmpl w:val="5A62FA3C"/>
    <w:lvl w:ilvl="0" w:tplc="FD962276">
      <w:start w:val="4"/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43BA796E"/>
    <w:multiLevelType w:val="multilevel"/>
    <w:tmpl w:val="795065FE"/>
    <w:lvl w:ilvl="0">
      <w:start w:val="2"/>
      <w:numFmt w:val="decimal"/>
      <w:lvlText w:val="%1"/>
      <w:lvlJc w:val="left"/>
      <w:pPr>
        <w:ind w:left="360" w:hanging="360"/>
      </w:pPr>
      <w:rPr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7"/>
      </w:rPr>
    </w:lvl>
  </w:abstractNum>
  <w:abstractNum w:abstractNumId="5" w15:restartNumberingAfterBreak="0">
    <w:nsid w:val="47C4661A"/>
    <w:multiLevelType w:val="multilevel"/>
    <w:tmpl w:val="8A289A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67F74E0"/>
    <w:multiLevelType w:val="multilevel"/>
    <w:tmpl w:val="18EC716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16A48E5"/>
    <w:multiLevelType w:val="multilevel"/>
    <w:tmpl w:val="891204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757F595A"/>
    <w:multiLevelType w:val="multilevel"/>
    <w:tmpl w:val="16AE85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A3F1F4B"/>
    <w:multiLevelType w:val="multilevel"/>
    <w:tmpl w:val="8F3466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4139025">
    <w:abstractNumId w:val="2"/>
  </w:num>
  <w:num w:numId="2" w16cid:durableId="589121980">
    <w:abstractNumId w:val="4"/>
  </w:num>
  <w:num w:numId="3" w16cid:durableId="1748769322">
    <w:abstractNumId w:val="0"/>
  </w:num>
  <w:num w:numId="4" w16cid:durableId="404839199">
    <w:abstractNumId w:val="9"/>
  </w:num>
  <w:num w:numId="5" w16cid:durableId="1406757213">
    <w:abstractNumId w:val="6"/>
  </w:num>
  <w:num w:numId="6" w16cid:durableId="1071581728">
    <w:abstractNumId w:val="7"/>
  </w:num>
  <w:num w:numId="7" w16cid:durableId="1889100285">
    <w:abstractNumId w:val="5"/>
  </w:num>
  <w:num w:numId="8" w16cid:durableId="235748479">
    <w:abstractNumId w:val="8"/>
  </w:num>
  <w:num w:numId="9" w16cid:durableId="1079864455">
    <w:abstractNumId w:val="1"/>
  </w:num>
  <w:num w:numId="10" w16cid:durableId="137943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58"/>
    <w:rsid w:val="000D4160"/>
    <w:rsid w:val="00135491"/>
    <w:rsid w:val="0030011E"/>
    <w:rsid w:val="008B5DE9"/>
    <w:rsid w:val="00AC046C"/>
    <w:rsid w:val="00AD59FB"/>
    <w:rsid w:val="00B21B58"/>
    <w:rsid w:val="00D74124"/>
    <w:rsid w:val="00E46B09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9259"/>
  <w15:docId w15:val="{216F23ED-6165-4951-A15E-19FDAB2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basedOn w:val="Policepardfau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TitreCar">
    <w:name w:val="Titre Car"/>
    <w:basedOn w:val="Policepardfau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ccentuationlgre">
    <w:name w:val="Subtle Emphasis"/>
    <w:basedOn w:val="Policepardfaut"/>
    <w:rPr>
      <w:i/>
      <w:iCs/>
      <w:color w:val="808080"/>
    </w:rPr>
  </w:style>
  <w:style w:type="character" w:styleId="Accentuation">
    <w:name w:val="Emphasis"/>
    <w:basedOn w:val="Policepardfaut"/>
    <w:rPr>
      <w:i/>
      <w:iCs/>
    </w:rPr>
  </w:style>
  <w:style w:type="character" w:styleId="Accentuationintense">
    <w:name w:val="Intense Emphasis"/>
    <w:basedOn w:val="Policepardfaut"/>
    <w:rPr>
      <w:b/>
      <w:bCs/>
      <w:i/>
      <w:iCs/>
      <w:color w:val="4F81BD"/>
    </w:rPr>
  </w:style>
  <w:style w:type="character" w:styleId="lev">
    <w:name w:val="Strong"/>
    <w:basedOn w:val="Policepardfaut"/>
    <w:rPr>
      <w:b/>
      <w:bCs/>
    </w:rPr>
  </w:style>
  <w:style w:type="paragraph" w:styleId="Citation">
    <w:name w:val="Quote"/>
    <w:basedOn w:val="Normal"/>
    <w:next w:val="Normal"/>
    <w:rPr>
      <w:i/>
      <w:iCs/>
      <w:color w:val="000000"/>
    </w:rPr>
  </w:style>
  <w:style w:type="character" w:customStyle="1" w:styleId="CitationCar">
    <w:name w:val="Citation Car"/>
    <w:basedOn w:val="Policepardfaut"/>
    <w:rPr>
      <w:i/>
      <w:iCs/>
      <w:color w:val="000000"/>
    </w:rPr>
  </w:style>
  <w:style w:type="paragraph" w:styleId="Citationintens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rPr>
      <w:b/>
      <w:bCs/>
      <w:i/>
      <w:iCs/>
      <w:color w:val="4F81BD"/>
    </w:rPr>
  </w:style>
  <w:style w:type="character" w:styleId="Rfrencelgre">
    <w:name w:val="Subtle Reference"/>
    <w:basedOn w:val="Policepardfaut"/>
    <w:rPr>
      <w:smallCaps/>
      <w:color w:val="C0504D"/>
      <w:u w:val="single"/>
    </w:rPr>
  </w:style>
  <w:style w:type="character" w:styleId="Rfrenceintense">
    <w:name w:val="Intense Reference"/>
    <w:basedOn w:val="Policepardfaut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or\Desktop\Registre_dol&#233;ance\Word%202010%20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4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dc:description/>
  <cp:lastModifiedBy>tresor</cp:lastModifiedBy>
  <cp:revision>2</cp:revision>
  <dcterms:created xsi:type="dcterms:W3CDTF">2024-03-14T10:47:00Z</dcterms:created>
  <dcterms:modified xsi:type="dcterms:W3CDTF">2024-03-14T10:47:00Z</dcterms:modified>
</cp:coreProperties>
</file>