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56"/>
          <w:szCs w:val="56"/>
        </w:rPr>
        <w:t xml:space="preserve">PHASE-Net</w:t>
      </w:r>
    </w:p>
    <w:p>
      <w:pPr>
        <w:spacing w:after="260"/>
      </w:pPr>
      <w:r>
        <w:rPr>
          <w:b/>
          <w:bCs/>
          <w:color w:val="2E5496"/>
          <w:sz w:val="32"/>
          <w:szCs w:val="32"/>
        </w:rPr>
        <w:t xml:space="preserve">Analysis &amp; Implementation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KEIKO — vision-based physiological monitoring during human–robot collaboration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6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PHASE-Net (main model, per supervisor's instruction)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Elham Baradaran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Supervisor</w:t>
            </w:r>
          </w:p>
        </w:tc>
        <w:tc>
          <w:tcPr>
            <w:tcW w:type="dxa" w:w="6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Sakif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22–23 July 2026</w:t>
            </w:r>
          </w:p>
        </w:tc>
      </w:tr>
      <w:tr>
        <w:tc>
          <w:tcPr>
            <w:tcW w:type="dxa" w:w="2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6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https://github.com/elhamBaradaran/rPPG</w:t>
            </w:r>
          </w:p>
        </w:tc>
      </w:tr>
    </w:tbl>
    <w:p>
      <w:pPr>
        <w:spacing w:after="260"/>
      </w:pPr>
    </w:p>
    <w:p>
      <w:pPr>
        <w:pStyle w:val="Heading1"/>
      </w:pPr>
      <w:r>
        <w:t xml:space="preserve">1. Objective</w:t>
      </w:r>
    </w:p>
    <w:p>
      <w:pPr>
        <w:spacing w:after="120" w:before="0"/>
      </w:pPr>
      <w:r>
        <w:rPr>
          <w:sz w:val="21"/>
          <w:szCs w:val="21"/>
        </w:rPr>
        <w:t xml:space="preserve">Move from the hand-built classical baseline (POS, Wang et al. 2017) to a modern deep-learning rPPG model. The supervisor specified PHASE-Net — a lightweight, physics-grounded rPPG model — with RhythmFormer as an alternative. This session covered two tasks: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Analyse the PHASE-Net paper.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Plan and begin the implementation — get the model running locally.</w:t>
      </w:r>
    </w:p>
    <w:p>
      <w:pPr>
        <w:spacing w:after="140"/>
      </w:pPr>
    </w:p>
    <w:p>
      <w:pPr>
        <w:pStyle w:val="Heading1"/>
      </w:pPr>
      <w:r>
        <w:t xml:space="preserve">2. Paper analysis</w:t>
      </w:r>
    </w:p>
    <w:p>
      <w:pPr>
        <w:spacing w:after="120" w:before="0"/>
      </w:pPr>
      <w:r>
        <w:rPr>
          <w:sz w:val="21"/>
          <w:szCs w:val="21"/>
        </w:rPr>
        <w:t xml:space="preserve">Reference: Zhao, B., Guo, D., Cao, J., Xu, Y., Zou, B., Tan, T., Sun, Y., Yu, Z. PHASE-Net: Physics-Grounded Harmonic Attention System for Efficient Remote Photoplethysmography Measurement. arXiv:2509.24850 — CVPR 2026 (Highlight). Code: https://github.com/Alex036225/PhaseNet</w:t>
      </w:r>
    </w:p>
    <w:p>
      <w:pPr>
        <w:pStyle w:val="Heading2"/>
      </w:pPr>
      <w:r>
        <w:t xml:space="preserve">2.1 The core contribution: architecture derived from physics</w:t>
      </w:r>
    </w:p>
    <w:p>
      <w:pPr>
        <w:spacing w:after="120" w:before="0"/>
      </w:pPr>
      <w:r>
        <w:rPr>
          <w:sz w:val="21"/>
          <w:szCs w:val="21"/>
        </w:rPr>
        <w:t xml:space="preserve">The paper's central claim is that existing deep rPPG models are heuristic — architectures chosen by trial-and-error, which causes overfitting to dataset-specific noise and poor interpretability. PHASE-Net instead derives its architecture from first principles: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Physics</w:t>
            </w:r>
          </w:p>
        </w:tc>
        <w:tc>
          <w:tcPr>
            <w:tcW w:type="dxa" w:w="54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Beer–Lambert law + vessel compliance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Pixel intensity change is proportional to blood-volume change, which is proportional to pressure pulsation. The pulse z(t) is physically embedded in the video.</w:t>
            </w:r>
          </w:p>
        </w:tc>
      </w:tr>
      <w:tr>
        <w:tc>
          <w:tcPr>
            <w:tcW w:type="dxa" w:w="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Navier–Stokes equations, linearised and 1-D averaged</w:t>
            </w:r>
          </w:p>
        </w:tc>
        <w:tc>
          <w:tcPr>
            <w:tcW w:type="dxa" w:w="54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damped wave equation for pressure pulse propagation.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Single-point observation (fixed facial location)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Reduces to a second-order ODE — a forced damped harmonic oscillator:  z''(t) + α·z'(t) + ω²·z(t) = u(t)</w:t>
            </w:r>
          </w:p>
        </w:tc>
      </w:tr>
      <w:tr>
        <w:tc>
          <w:tcPr>
            <w:tcW w:type="dxa" w:w="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Discretised via semi-implicit Euler → LTI state-space model</w:t>
            </w:r>
          </w:p>
        </w:tc>
        <w:tc>
          <w:tcPr>
            <w:tcW w:type="dxa" w:w="54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Proposition 1: the solution is exactly a causal convolution of past inputs.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IIR → FIR approximation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Proposition 2: this is precisely what a Temporal Convolutional Network (TCN) computes.</w:t>
            </w:r>
          </w:p>
        </w:tc>
      </w:tr>
    </w:tbl>
    <w:p>
      <w:pPr>
        <w:spacing w:after="140"/>
      </w:pPr>
    </w:p>
    <w:p>
      <w:pPr>
        <w:pBdr>
          <w:left w:val="single" w:color="2E5496" w:sz="12" w:space="8"/>
        </w:pBdr>
        <w:spacing w:after="140"/>
        <w:ind w:left="160"/>
      </w:pPr>
      <w:r>
        <w:rPr>
          <w:i/>
          <w:iCs/>
          <w:color w:val="44546A"/>
          <w:sz w:val="19"/>
          <w:szCs w:val="19"/>
        </w:rPr>
        <w:t xml:space="preserve">Conclusion: the TCN is not a design guess — it is the mathematically mandated architecture. The authors state this is the first work to build a theoretical bridge between the underlying physiological dynamics and a specific network architecture.</w:t>
      </w:r>
    </w:p>
    <w:p>
      <w:pPr>
        <w:pStyle w:val="Heading2"/>
      </w:pPr>
      <w:r>
        <w:t xml:space="preserve">2.2 Architecture</w:t>
      </w:r>
    </w:p>
    <w:p>
      <w:pPr>
        <w:spacing w:after="120" w:before="0"/>
      </w:pPr>
      <w:r>
        <w:rPr>
          <w:sz w:val="21"/>
          <w:szCs w:val="21"/>
        </w:rPr>
        <w:t xml:space="preserve">Pipeline:  video → Vision Encoder (3 EST blocks) → Adaptive Spatial Filter → Gated TCN → pulse waveform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ZAS (Zero-FLOPs Axial Swapper) — a parameter-free, reversible 2×2 block transpose applied to a subset of channels, mixing distant facial regions (forehead ↔ cheeks) at zero computational cost. Proven self-inverting and energy-preserving (1-Lipschitz), which stabilises training.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ASF (Adaptive Spatial Filter) — learns a per-frame spatial softmax mask that highlights pulse-rich skin and suppresses noisy regions, then aggregates spatially and concatenates the first-order temporal derivative (vt = zt − zt−1) to encode local pulse dynamics.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GTCN (Gated TCN) — causal dilated TCN with tanh × sigmoid gating. Ablation shows 3 layers is optimal (4 layers slightly degrades performance).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Loss: Negative Pearson Correlation (waveform-shape similarity). Auxiliary loss weight λ = 0.1.</w:t>
      </w:r>
    </w:p>
    <w:p>
      <w:pPr>
        <w:spacing w:after="140"/>
      </w:pPr>
    </w:p>
    <w:p>
      <w:pPr>
        <w:pStyle w:val="Heading2"/>
      </w:pPr>
      <w:r>
        <w:t xml:space="preserve">2.3 Reported results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Efficiency (Table 5 — 128×128, T = 128):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Params (M)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MACs (G)</w:t>
            </w:r>
          </w:p>
        </w:tc>
      </w:tr>
      <w:tr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PHASE-Net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0.29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28.3</w:t>
            </w:r>
          </w:p>
        </w:tc>
      </w:tr>
      <w:tr>
        <w:tc>
          <w:tcPr>
            <w:tcW w:type="dxa" w:w="3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RhythmFormer</w:t>
            </w:r>
          </w:p>
        </w:tc>
        <w:tc>
          <w:tcPr>
            <w:tcW w:type="dxa" w:w="2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4.21</w:t>
            </w:r>
          </w:p>
        </w:tc>
        <w:tc>
          <w:tcPr>
            <w:tcW w:type="dxa" w:w="2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28.8</w:t>
            </w:r>
          </w:p>
        </w:tc>
      </w:tr>
      <w:tr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PhysFormer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7.38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40.5</w:t>
            </w:r>
          </w:p>
        </w:tc>
      </w:tr>
      <w:tr>
        <w:tc>
          <w:tcPr>
            <w:tcW w:type="dxa" w:w="3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PhysNet</w:t>
            </w:r>
          </w:p>
        </w:tc>
        <w:tc>
          <w:tcPr>
            <w:tcW w:type="dxa" w:w="2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0.77</w:t>
            </w:r>
          </w:p>
        </w:tc>
        <w:tc>
          <w:tcPr>
            <w:tcW w:type="dxa" w:w="27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56.1</w:t>
            </w:r>
          </w:p>
        </w:tc>
      </w:tr>
      <w:tr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DeepPhys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7.50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96.0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Intra-dataset accuracy (MAE, bpm — lower is better):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900"/>
        <w:gridCol w:w="1550"/>
        <w:gridCol w:w="1550"/>
        <w:gridCol w:w="1600"/>
      </w:tblGrid>
      <w:tr>
        <w:trPr>
          <w:tblHeader/>
        </w:trPr>
        <w:tc>
          <w:tcPr>
            <w:tcW w:type="dxa" w:w="24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UBFC-rPPG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BUAA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MMPD</w:t>
            </w:r>
          </w:p>
        </w:tc>
      </w:tr>
      <w:tr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4.08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3.67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12.36</w:t>
            </w:r>
          </w:p>
        </w:tc>
      </w:tr>
      <w:tr>
        <w:tc>
          <w:tcPr>
            <w:tcW w:type="dxa" w:w="24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PhysNet</w:t>
            </w:r>
          </w:p>
        </w:tc>
        <w:tc>
          <w:tcPr>
            <w:tcW w:type="dxa" w:w="19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2.95</w:t>
            </w:r>
          </w:p>
        </w:tc>
        <w:tc>
          <w:tcPr>
            <w:tcW w:type="dxa" w:w="155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2.10</w:t>
            </w:r>
          </w:p>
        </w:tc>
        <w:tc>
          <w:tcPr>
            <w:tcW w:type="dxa" w:w="155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10.89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4.80</w:t>
            </w:r>
          </w:p>
        </w:tc>
      </w:tr>
      <w:tr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RhythmFormer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0.50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0.27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9.19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4.69</w:t>
            </w:r>
          </w:p>
        </w:tc>
      </w:tr>
      <w:tr>
        <w:tc>
          <w:tcPr>
            <w:tcW w:type="dxa" w:w="24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PHASE-Net</w:t>
            </w:r>
          </w:p>
        </w:tc>
        <w:tc>
          <w:tcPr>
            <w:tcW w:type="dxa" w:w="19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155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0.14</w:t>
            </w:r>
          </w:p>
        </w:tc>
        <w:tc>
          <w:tcPr>
            <w:tcW w:type="dxa" w:w="155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5.89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4.78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Cross-dataset generalisation (leave-one-out, MAE bpm) — the strongest result, and the most relevant to KEIKO, since a robot lab will not resemble the training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2266"/>
        <w:gridCol w:w="2266"/>
        <w:gridCol w:w="2268"/>
      </w:tblGrid>
      <w:tr>
        <w:trPr>
          <w:tblHeader/>
        </w:trPr>
        <w:tc>
          <w:tcPr>
            <w:tcW w:type="dxa" w:w="22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on →</w:t>
            </w:r>
          </w:p>
        </w:tc>
        <w:tc>
          <w:tcPr>
            <w:tcW w:type="dxa" w:w="226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PHASE-Net</w:t>
            </w:r>
          </w:p>
        </w:tc>
        <w:tc>
          <w:tcPr>
            <w:tcW w:type="dxa" w:w="226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RhythmFormer</w:t>
            </w:r>
          </w:p>
        </w:tc>
        <w:tc>
          <w:tcPr>
            <w:tcW w:type="dxa" w:w="2268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PhysFormer</w:t>
            </w:r>
          </w:p>
        </w:tc>
      </w:tr>
      <w:tr>
        <w:tc>
          <w:tcPr>
            <w:tcW w:type="dxa" w:w="2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PURE</w:t>
            </w:r>
          </w:p>
        </w:tc>
        <w:tc>
          <w:tcPr>
            <w:tcW w:type="dxa" w:w="22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2.86</w:t>
            </w:r>
          </w:p>
        </w:tc>
        <w:tc>
          <w:tcPr>
            <w:tcW w:type="dxa" w:w="22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21.11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19.75</w:t>
            </w:r>
          </w:p>
        </w:tc>
      </w:tr>
      <w:tr>
        <w:tc>
          <w:tcPr>
            <w:tcW w:type="dxa" w:w="22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BUAA</w:t>
            </w:r>
          </w:p>
        </w:tc>
        <w:tc>
          <w:tcPr>
            <w:tcW w:type="dxa" w:w="226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2.56</w:t>
            </w:r>
          </w:p>
        </w:tc>
        <w:tc>
          <w:tcPr>
            <w:tcW w:type="dxa" w:w="226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6.04</w:t>
            </w:r>
          </w:p>
        </w:tc>
        <w:tc>
          <w:tcPr>
            <w:tcW w:type="dxa" w:w="2268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22.09</w:t>
            </w:r>
          </w:p>
        </w:tc>
      </w:tr>
      <w:tr>
        <w:tc>
          <w:tcPr>
            <w:tcW w:type="dxa" w:w="2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UBFC</w:t>
            </w:r>
          </w:p>
        </w:tc>
        <w:tc>
          <w:tcPr>
            <w:tcW w:type="dxa" w:w="22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10.04</w:t>
            </w:r>
          </w:p>
        </w:tc>
        <w:tc>
          <w:tcPr>
            <w:tcW w:type="dxa" w:w="226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14.71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10.29</w:t>
            </w:r>
          </w:p>
        </w:tc>
      </w:tr>
      <w:tr>
        <w:tc>
          <w:tcPr>
            <w:tcW w:type="dxa" w:w="22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MMPD</w:t>
            </w:r>
          </w:p>
        </w:tc>
        <w:tc>
          <w:tcPr>
            <w:tcW w:type="dxa" w:w="226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10.33</w:t>
            </w:r>
          </w:p>
        </w:tc>
        <w:tc>
          <w:tcPr>
            <w:tcW w:type="dxa" w:w="226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16.14</w:t>
            </w:r>
          </w:p>
        </w:tc>
        <w:tc>
          <w:tcPr>
            <w:tcW w:type="dxa" w:w="2268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13.90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sz w:val="21"/>
          <w:szCs w:val="21"/>
        </w:rPr>
        <w:t xml:space="preserve">PHASE-Net is roughly an order of magnitude better at transferring to PURE, supporting the claim that it learns pulse physics rather than dataset-specific appearance cues.</w:t>
      </w:r>
    </w:p>
    <w:p>
      <w:pPr>
        <w:pStyle w:val="Heading2"/>
      </w:pPr>
      <w:r>
        <w:t xml:space="preserve">2.4 Relevance to KEIKO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Robustness under motion and illumination change is the exact failure mode observed in our POS baseline (the estimate locked onto motion frequency and dropped to ~40 BPM under head movement).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Lightweight and deployment-ready — important for eventual real-time use alongside the robot.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Notably, PURE — one of the paper's benchmark datasets — is itself titled "Non-contact video-based pulse rate measurement on a mobile service robot", i.e. a human–robot interaction context directly analogous to KEIKO.</w:t>
      </w:r>
    </w:p>
    <w:p>
      <w:pPr>
        <w:spacing w:after="140"/>
      </w:pPr>
    </w:p>
    <w:p>
      <w:pPr>
        <w:pStyle w:val="Heading2"/>
      </w:pPr>
      <w:r>
        <w:t xml:space="preserve">2.5 Decision: PHASE-Net over RhythmFormer</w:t>
      </w:r>
    </w:p>
    <w:p>
      <w:pPr>
        <w:spacing w:after="120" w:before="0"/>
      </w:pPr>
      <w:r>
        <w:rPr>
          <w:sz w:val="21"/>
          <w:szCs w:val="21"/>
        </w:rPr>
        <w:t xml:space="preserve">Both are built on the same rPPG-Toolbox framework, so implementation difficulty is comparable. PHASE-Net was retained because it is roughly 14× smaller in parameters, reports substantially better cross-domain generalisation, and was the supervisor's explicit choice. RhythmFormer remains a viable fallback within the same toolbox.</w:t>
      </w:r>
    </w:p>
    <w:p>
      <w:pPr>
        <w:spacing w:after="140"/>
      </w:pPr>
    </w:p>
    <w:p>
      <w:pPr>
        <w:pStyle w:val="Heading1"/>
      </w:pPr>
      <w:r>
        <w:t xml:space="preserve">3. Implementation work completed</w:t>
      </w:r>
    </w:p>
    <w:p>
      <w:pPr>
        <w:pStyle w:val="Heading2"/>
      </w:pPr>
      <w:r>
        <w:t xml:space="preserve">3.1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OS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Windows 11 Pro</w:t>
            </w:r>
          </w:p>
        </w:tc>
      </w:tr>
      <w:tr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6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3.12.7 (existing project venv keiko-rppg\venv)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PyTorch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2.6.0+cu124 — torch.cuda.is_available() == True</w:t>
            </w:r>
          </w:p>
        </w:tc>
      </w:tr>
      <w:tr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GPU</w:t>
            </w:r>
          </w:p>
        </w:tc>
        <w:tc>
          <w:tcPr>
            <w:tcW w:type="dxa" w:w="6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NVIDIA RTX 3050 Laptop — 4 GB VRAM, driver 592.00 (CUDA 13.1)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Added packages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torch, torchvision, thop, matplotlib</w:t>
            </w:r>
          </w:p>
        </w:tc>
      </w:tr>
    </w:tbl>
    <w:p>
      <w:pPr>
        <w:spacing w:after="140"/>
      </w:pPr>
    </w:p>
    <w:p>
      <w:pPr>
        <w:pBdr>
          <w:left w:val="single" w:color="2E5496" w:sz="12" w:space="8"/>
        </w:pBdr>
        <w:spacing w:after="140"/>
        <w:ind w:left="160"/>
      </w:pPr>
      <w:r>
        <w:rPr>
          <w:i/>
          <w:iCs/>
          <w:color w:val="44546A"/>
          <w:sz w:val="19"/>
          <w:szCs w:val="19"/>
        </w:rPr>
        <w:t xml:space="preserve">Hardware constraint: the paper trained on a single NVIDIA H100. With 4 GB of VRAM, training from scratch is not feasible; the work therefore targets inference using the authors' pretrained weights, which is sufficient for evaluation and for the KEIKO use case.</w:t>
      </w:r>
    </w:p>
    <w:p>
      <w:pPr>
        <w:pStyle w:val="Heading2"/>
      </w:pPr>
      <w:r>
        <w:t xml:space="preserve">3.2 Obtaining the code and weights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Cloned the official repo to D:\00-TU-CLAUSTHAL\keiko-rppg\PhaseNet, deliberately outside the personal rPPG git repository to avoid nested-repository problems.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Windows 260-character path limit blocked the clone: the repo contains a log directory with an extremely long name. Resolved with git config --global core.longpaths true followed by git restore --source=HEAD :/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repository ships genuine pretrained weights (not a Git-LFS placeholder): PhysLLM_PhaseNet_UBFC_UBFC_072_100_Epoch9.pth, 13,237,939 bytes, trained on UBFC-rPPG. Copied to the short path PhaseNet\weights\phasenet_ubfc_epoch9.pth to permanently avoid the long-path issue.</w:t>
      </w:r>
    </w:p>
    <w:p>
      <w:pPr>
        <w:spacing w:after="140"/>
      </w:pPr>
    </w:p>
    <w:p>
      <w:pPr>
        <w:pStyle w:val="Heading2"/>
      </w:pPr>
      <w:r>
        <w:t xml:space="preserve">3.3 Milestone 1 — model and weights verified (01_load_phasenet.py)</w:t>
      </w:r>
    </w:p>
    <w:p>
      <w:pPr>
        <w:spacing w:after="120" w:before="0"/>
      </w:pPr>
      <w:r>
        <w:rPr>
          <w:sz w:val="21"/>
          <w:szCs w:val="21"/>
        </w:rPr>
        <w:t xml:space="preserve">Rather than invoking the full rPPG-Toolbox pipeline, the model class is imported directly. This matters because dataset/data_loader/BaseLoader.py unconditionally imports retinaface, which pulls in TensorFlow; importing only neural_methods.model.PhaseNet.PhaseNet avoids that heavy dependency entirely for inference.</w:t>
      </w:r>
    </w:p>
    <w:p>
      <w:pPr>
        <w:spacing w:after="120" w:before="0"/>
      </w:pPr>
      <w:r>
        <w:rPr>
          <w:sz w:val="21"/>
          <w:szCs w:val="21"/>
        </w:rPr>
        <w:t xml:space="preserve">Model constructed with the settings recovered from the config YAML and trainer source: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PhaseNet(feature_dim=128, latent_dim=32, hidden_dim=128, tcn_layers=4,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encoder_channels=[16, 32, 64, 128], encoder_expand_ratio=4,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temporal_module="gated_tcn")</w:t>
      </w:r>
    </w:p>
    <w:p>
      <w:pPr>
        <w:spacing w:after="14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Results: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6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Weight loading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 missing, 0 unexpected keys — all 82 tensors matched exactly</w:t>
            </w:r>
          </w:p>
        </w:tc>
      </w:tr>
      <w:tr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Forward pass</w:t>
            </w:r>
          </w:p>
        </w:tc>
        <w:tc>
          <w:tcPr>
            <w:tcW w:type="dxa" w:w="6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Succeeded on GPU in 1.60 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Peak GPU memory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1.66 GB of 4.00 GB available — comfortable headroom</w:t>
            </w:r>
          </w:p>
        </w:tc>
      </w:tr>
      <w:tr>
        <w:tc>
          <w:tcPr>
            <w:tcW w:type="dxa" w:w="2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Input shape</w:t>
            </w:r>
          </w:p>
        </w:tc>
        <w:tc>
          <w:tcPr>
            <w:tcW w:type="dxa" w:w="6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(1, 3, 128, 128, 128) = (clip, RGB, 128 frames, 128×128 px)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Output shape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(1, 128) — one pulse value per frame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sz w:val="21"/>
          <w:szCs w:val="21"/>
        </w:rPr>
        <w:t xml:space="preserve">The perfect key match confirms both that the architecture was reconstructed correctly and that the checkpoint is genuine and intact.</w:t>
      </w:r>
    </w:p>
    <w:p>
      <w:pPr>
        <w:pStyle w:val="Heading2"/>
      </w:pPr>
      <w:r>
        <w:t xml:space="preserve">3.4 Milestone 2 — webcam inference script (02_webcam_phasenet.py)</w:t>
      </w:r>
    </w:p>
    <w:p>
      <w:pPr>
        <w:spacing w:after="120" w:before="0"/>
      </w:pPr>
      <w:r>
        <w:rPr>
          <w:sz w:val="21"/>
          <w:szCs w:val="21"/>
        </w:rPr>
        <w:t xml:space="preserve">The preprocessing was reverse-engineered from the repo source so that it matches training exactly: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Frames read and converted BGR → RGB.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Haar-cascade face detection on the first frame only (DO_DYNAMIC_DETECTION: False).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Bounding box enlarged 1.5× about its centre (LARGE_BOX_COEF: 1.5).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Crop, then resize to 128×128 with cv2.INTER_AREA.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DATA_TYPE: Raw — pixel values kept in the 0–255 range. BaseLoader.__getitem__ performs np.float32(data) with no division by 255; normalising to 0–1 here would silently corrupt the input scale. (This was the single most important detail to get right.)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Tensor laid out as NCDHW → (1, 3, 128, 128, 128).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Chunked into 128-frame clips.</w:t>
      </w:r>
    </w:p>
    <w:p>
      <w:pPr>
        <w:spacing w:after="120" w:before="0"/>
      </w:pPr>
      <w:r>
        <w:rPr>
          <w:sz w:val="21"/>
          <w:szCs w:val="21"/>
        </w:rPr>
        <w:t xml:space="preserve">Heart rate is computed with the repo's own post-processing functions (_detrend, _calculate_fft_hr): detrend (λ = 100) → 1st-order Butterworth bandpass 0.75–2.5 Hz (45–150 BPM) → FFT peak → ×60.</w:t>
      </w:r>
    </w:p>
    <w:p>
      <w:pPr>
        <w:spacing w:after="80"/>
      </w:pPr>
    </w:p>
    <w:p>
      <w:pPr>
        <w:spacing w:after="120" w:before="0"/>
      </w:pPr>
      <w:r>
        <w:rPr>
          <w:b/>
          <w:bCs/>
          <w:sz w:val="21"/>
          <w:szCs w:val="21"/>
        </w:rPr>
        <w:t xml:space="preserve">Self-test results (no webcam required):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8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BPM computation on a synthetic 75.0 BPM sine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75.59 BPM — correct within FFT bin resolution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pipeline on 128 synthetic frames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Ran end-to-end on CUDA with no errors; shapes consistent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Key technical findings</w:t>
      </w:r>
    </w:p>
    <w:p>
      <w:pPr>
        <w:pStyle w:val="Heading2"/>
      </w:pPr>
      <w:r>
        <w:t xml:space="preserve">4.1 Parameter count does not match the paper's claim</w:t>
      </w:r>
    </w:p>
    <w:p>
      <w:pPr>
        <w:spacing w:after="120" w:before="0"/>
      </w:pPr>
      <w:r>
        <w:rPr>
          <w:sz w:val="21"/>
          <w:szCs w:val="21"/>
        </w:rPr>
        <w:t xml:space="preserve">The paper reports 0.29 M parameters. Measured directly from the released checkpoint: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 (whole checkpoint) : 3,300,274  (3.300 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training-only modules    : 2,487,984  (2.488 M)   &lt;- Decoder1D + projection_encoder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inference path           :   812,290  (0.812 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paper claims             :   290,000  (0.290 M)</w:t>
      </w:r>
    </w:p>
    <w:p>
      <w:pPr>
        <w:spacing w:after="140"/>
      </w:pPr>
    </w:p>
    <w:p>
      <w:pPr>
        <w:spacing w:after="120" w:before="0"/>
      </w:pPr>
      <w:r>
        <w:rPr>
          <w:sz w:val="21"/>
          <w:szCs w:val="21"/>
        </w:rPr>
        <w:t xml:space="preserve">The Decoder1D and projection_encoder blocks are used only during training (they implement the reconstruction regularisation term) and can fairly be excluded from an inference-cost figure. Even so, the inference path holds 0.81 M parameters — approximately 2.8× the published 0.29 M.</w:t>
      </w:r>
    </w:p>
    <w:p>
      <w:pPr>
        <w:spacing w:after="120" w:before="0"/>
      </w:pPr>
      <w:r>
        <w:rPr>
          <w:sz w:val="21"/>
          <w:szCs w:val="21"/>
        </w:rPr>
        <w:t xml:space="preserve">This does not invalidate the paper's accuracy results, and PHASE-Net remains markedly smaller than RhythmFormer (4.21 M) and PhysFormer (7.38 M). It is, however, a reproducibility discrepancy worth raising, and it may indicate that the reported figure corresponds to a different or reduced configuration than the released checkpoint.</w:t>
      </w:r>
    </w:p>
    <w:p>
      <w:pPr>
        <w:pStyle w:val="Heading2"/>
      </w:pPr>
      <w:r>
        <w:t xml:space="preserve">4.2 Released checkpoint uses 4 TCN layers, not the ablation-optimal 3</w:t>
      </w:r>
    </w:p>
    <w:p>
      <w:pPr>
        <w:spacing w:after="120" w:before="0"/>
      </w:pPr>
      <w:r>
        <w:rPr>
          <w:sz w:val="21"/>
          <w:szCs w:val="21"/>
        </w:rPr>
        <w:t xml:space="preserve">The paper's ablation concludes that 3 TCN layers is optimal on UBFC-rPPG (MAE 0.15 vs 0.25 at 4 layers) and states "we set the default depth to 3". The released checkpoint contains temporal_model.network.{0,1,2,3} — i.e. 4 layers. A minor inconsistency between the published ablation and the released artefact.</w:t>
      </w:r>
    </w:p>
    <w:p>
      <w:pPr>
        <w:pStyle w:val="Heading2"/>
      </w:pPr>
      <w:r>
        <w:t xml:space="preserve">4.3 Practical / reproducibility notes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retinaface dependency (and thus TensorFlow) is required only for the RF face-detection backend and the data-loading pipeline; the configs use the lightweight HC (Haar cascade) backend, so it can be avoided for inference.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Windows long-path handling is a genuine blocker for this repository and must be enabled before cloning.</w:t>
      </w:r>
    </w:p>
    <w:p>
      <w:pPr>
        <w:spacing w:after="140"/>
      </w:pPr>
    </w:p>
    <w:p>
      <w:pPr>
        <w:pStyle w:val="Heading1"/>
      </w:pPr>
      <w:r>
        <w:t xml:space="preserve">5. Current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8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Paper analysed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PyTorch + CUDA environment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Working (GPU confirmed)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Repository cloned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Pretrained weights obtained and validated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Complete (perfect key match)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runs on local GPU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Complete (1.66 GB peak, well within 4 GB)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Preprocessing replicated from source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Webcam inference script + self-test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Written and self-tested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webcam measurement on a real face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Pending — not yet executed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Validation against UBFC-rPPG ground truth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Not started (dataset not yet obtained)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rPPG-Toolbox only_test reproduction</w:t>
            </w:r>
          </w:p>
        </w:tc>
        <w:tc>
          <w:tcPr>
            <w:tcW w:type="dxa" w:w="48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Deferred (requires dataset + TensorFlow)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Training / fine-tuning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02418"/>
                <w:sz w:val="19"/>
                <w:szCs w:val="19"/>
              </w:rPr>
              <w:t xml:space="preserve">Not feasible on 4 GB VRAM</w:t>
            </w:r>
          </w:p>
        </w:tc>
      </w:tr>
    </w:tbl>
    <w:p>
      <w:pPr>
        <w:spacing w:after="140"/>
      </w:pPr>
    </w:p>
    <w:p>
      <w:pPr>
        <w:pBdr>
          <w:left w:val="single" w:color="2E5496" w:sz="12" w:space="8"/>
        </w:pBdr>
        <w:spacing w:after="140"/>
        <w:ind w:left="160"/>
      </w:pPr>
      <w:r>
        <w:rPr>
          <w:i/>
          <w:iCs/>
          <w:color w:val="44546A"/>
          <w:sz w:val="19"/>
          <w:szCs w:val="19"/>
        </w:rPr>
        <w:t xml:space="preserve">No rPPG dataset (UBFC-rPPG, PURE, MMPD) is currently present on the local machine. All results above are therefore either from the released checkpoint or from synthetic self-tests; no accuracy figure has yet been reproduced against ground truth.</w:t>
      </w:r>
    </w:p>
    <w:p>
      <w:pPr>
        <w:pStyle w:val="Heading1"/>
      </w:pPr>
      <w:r>
        <w:t xml:space="preserve">6. Next steps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Run the webcam script on a real face and compare against the Samsung smartwatch reference — the same informal validation used for the POS baseline (which gave ~78 BPM vs the watch's 74 BPM).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Obtain UBFC-rPPG to enable quantitative validation against the CMS50E ground truth, and attempt to reproduce the paper's reported 0.15 bpm MAE.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Compare PHASE-Net against the POS baseline under identical conditions — particularly under head motion, where POS is known to fail — to quantify the improvement for the KEIKO scenario.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Adapt to the KEIKO setting: longer recordings, subject seated at the collaborative task, and eventually a sliding-window real-time mode.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Longer term: heart rate variability (HRV), which requires accurate beat-to-beat peak timing rather than only an averaged BPM.</w:t>
      </w:r>
    </w:p>
    <w:p>
      <w:pPr>
        <w:spacing w:after="140"/>
      </w:pPr>
    </w:p>
    <w:p>
      <w:pPr>
        <w:pStyle w:val="Heading1"/>
      </w:pPr>
      <w:r>
        <w:t xml:space="preserve">7. Files produced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Models/PHASE-Net/01_load_phasenet.py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Loads the model + pretrained weights, verifies key match, reports parameter counts, runs a timed GPU forward pass</w:t>
            </w:r>
          </w:p>
        </w:tc>
      </w:tr>
      <w:tr>
        <w:tc>
          <w:tcPr>
            <w:tcW w:type="dxa" w:w="3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Models/PHASE-Net/02_webcam_phasenet.py</w:t>
            </w:r>
          </w:p>
        </w:tc>
        <w:tc>
          <w:tcPr>
            <w:tcW w:type="dxa" w:w="5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End-to-end webcam → face crop → PHASE-Net → BPM, with --selftest mode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Models/PHASE-Net/README.md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GitHub-facing README: same content plus setup and run instructions</w:t>
            </w:r>
          </w:p>
        </w:tc>
      </w:tr>
      <w:tr>
        <w:tc>
          <w:tcPr>
            <w:tcW w:type="dxa" w:w="3400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PhaseNet/weights/phasenet_ubfc_epoch9.pth</w:t>
            </w:r>
          </w:p>
        </w:tc>
        <w:tc>
          <w:tcPr>
            <w:tcW w:type="dxa" w:w="5626"/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Pretrained UBFC checkpoint, copied to a short path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References</w:t>
      </w:r>
    </w:p>
    <w:p>
      <w:pPr>
        <w:spacing w:after="100"/>
        <w:ind w:left="340" w:hanging="340"/>
      </w:pPr>
      <w:r>
        <w:rPr>
          <w:sz w:val="19"/>
          <w:szCs w:val="19"/>
        </w:rPr>
        <w:t xml:space="preserve">[1]  Zhao, B. et al. PHASE-Net: Physics-Grounded Harmonic Attention System for Efficient Remote Photoplethysmography Measurement. CVPR 2026 (Highlight). arXiv:2509.24850.</w:t>
      </w:r>
    </w:p>
    <w:p>
      <w:pPr>
        <w:spacing w:after="100"/>
        <w:ind w:left="340" w:hanging="340"/>
      </w:pPr>
      <w:r>
        <w:rPr>
          <w:sz w:val="19"/>
          <w:szCs w:val="19"/>
        </w:rPr>
        <w:t xml:space="preserve">[2]  Liu, X. et al. rPPG-Toolbox: Deep Remote PPG Toolbox. arXiv:2210.00716, 2022.</w:t>
      </w:r>
    </w:p>
    <w:p>
      <w:pPr>
        <w:spacing w:after="100"/>
        <w:ind w:left="340" w:hanging="340"/>
      </w:pPr>
      <w:r>
        <w:rPr>
          <w:sz w:val="19"/>
          <w:szCs w:val="19"/>
        </w:rPr>
        <w:t xml:space="preserve">[3]  Wang, W., den Brinker, A. C., Stuijk, S., de Haan, G. Algorithmic Principles of Remote PPG. IEEE TBME 64(7), 2017. — the POS baseline.</w:t>
      </w:r>
    </w:p>
    <w:p>
      <w:pPr>
        <w:spacing w:after="100"/>
        <w:ind w:left="340" w:hanging="340"/>
      </w:pPr>
      <w:r>
        <w:rPr>
          <w:sz w:val="19"/>
          <w:szCs w:val="19"/>
        </w:rPr>
        <w:t xml:space="preserve">[4]  Bobbia, S. et al. Unsupervised skin tissue segmentation for remote photoplethysmography. Pattern Recognition Letters 124, 2017. — UBFC-rPPG dataset.</w:t>
      </w:r>
    </w:p>
    <w:p>
      <w:pPr>
        <w:spacing w:after="100"/>
        <w:ind w:left="340" w:hanging="340"/>
      </w:pPr>
      <w:r>
        <w:rPr>
          <w:sz w:val="19"/>
          <w:szCs w:val="19"/>
        </w:rPr>
        <w:t xml:space="preserve">[5]  Zou, B. et al. RhythmFormer: Extracting patterned rPPG signals based on periodic sparse attention. Pattern Recognition 164, 2025. — considered alternative.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PHASE-Net — Analysis &amp; Implementation Report    |   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PHASE-Net — Analysis &amp; Implementation Report</dc:title>
  <dc:creator>Elham Baradaran</dc:creator>
  <dc:description>KEIKO project: PHASE-Net rPPG analysis and implementation progress</dc:description>
  <cp:lastModifiedBy>Un-named</cp:lastModifiedBy>
  <cp:revision>1</cp:revision>
  <dcterms:created xsi:type="dcterms:W3CDTF">2026-07-22T22:25:12.206Z</dcterms:created>
  <dcterms:modified xsi:type="dcterms:W3CDTF">2026-07-22T22:25:12.208Z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