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A42" w:rsidRDefault="00C93A42" w:rsidP="00C93A42">
      <w:pPr>
        <w:pStyle w:val="ListParagraph"/>
        <w:ind w:left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Cel i założenia projektu</w:t>
      </w:r>
    </w:p>
    <w:p w:rsidR="00C93A42" w:rsidRPr="002A2DC8" w:rsidRDefault="00C93A42" w:rsidP="00C93A42">
      <w:pPr>
        <w:pStyle w:val="ListParagraph"/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2A2DC8">
        <w:rPr>
          <w:rFonts w:ascii="Times New Roman" w:hAnsi="Times New Roman"/>
        </w:rPr>
        <w:t xml:space="preserve">Proponowany projekt jest rozwinięciem w sensie technologicznym i badawczym projektu „Opracowanie obrazująco-spektralnych systemów przeznaczonych do zdalnej obserwacji obiektów” </w:t>
      </w:r>
      <w:r w:rsidRPr="002A2DC8">
        <w:rPr>
          <w:rFonts w:ascii="Times New Roman" w:hAnsi="Times New Roman"/>
          <w:lang/>
        </w:rPr>
        <w:t xml:space="preserve">Poddziałania 1.3.1  Priorytetu 1 “Badania i Rozwój Nowoczesnych Technologii” </w:t>
      </w:r>
      <w:r w:rsidRPr="002A2DC8">
        <w:rPr>
          <w:rFonts w:ascii="Times New Roman" w:hAnsi="Times New Roman"/>
          <w:b/>
          <w:lang/>
        </w:rPr>
        <w:t>POIG</w:t>
      </w:r>
      <w:r w:rsidRPr="002A2DC8">
        <w:rPr>
          <w:rFonts w:ascii="Times New Roman" w:hAnsi="Times New Roman"/>
          <w:lang/>
        </w:rPr>
        <w:t xml:space="preserve"> 2007-2013,. zakończonego 30.06.2011. W ramach projektu powstało i zostało przetestowanych szereg modeli oraz prototyp </w:t>
      </w:r>
      <w:proofErr w:type="spellStart"/>
      <w:r w:rsidRPr="002A2DC8">
        <w:rPr>
          <w:rFonts w:ascii="Times New Roman" w:hAnsi="Times New Roman"/>
          <w:lang/>
        </w:rPr>
        <w:t>hiperspektralnego</w:t>
      </w:r>
      <w:proofErr w:type="spellEnd"/>
      <w:r w:rsidRPr="002A2DC8">
        <w:rPr>
          <w:rFonts w:ascii="Times New Roman" w:hAnsi="Times New Roman"/>
          <w:lang/>
        </w:rPr>
        <w:t xml:space="preserve"> sytemu obrazująco-spektralnego. Prototyp ten został zaprojektowany z myślą o usytuowaniu go na pokładzie małego obiektu latającego. System nasz przeszedł testy w warunkach laboratoryjnych z użyciem symulatorów umożliwiających zbieranie danych z prędkościami odpowiadającymi prędkości przelotu małego samolotu. </w:t>
      </w:r>
      <w:r w:rsidRPr="002A2DC8">
        <w:rPr>
          <w:rFonts w:ascii="Times New Roman" w:hAnsi="Times New Roman"/>
        </w:rPr>
        <w:t xml:space="preserve">Pozytywne rezultaty zakończonego projektu upoważniają nas do kontynuacji działań w ramach programu badań stosowanych, aby w kolejnym etapie przystąpić do wdrożenia  powstałej konstrukcji do produkcji. </w:t>
      </w:r>
    </w:p>
    <w:p w:rsidR="00C93A42" w:rsidRPr="002A2DC8" w:rsidRDefault="00C93A42" w:rsidP="00C93A42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 w:rsidRPr="002A2DC8">
        <w:rPr>
          <w:rFonts w:ascii="Times New Roman" w:hAnsi="Times New Roman"/>
        </w:rPr>
        <w:t>Należy podkreślić, że o ile systemy obrazujące w postaci wszelkiego rodzaju kamer są rozpowszechnione i konkurencja na rynku jest bardzo silna , to uzupełnienie ich o analizę spektralną daje nową jakość i nowe źródło informacji o obiekcie, a producentów tego typu sprzętu jest niewielu.</w:t>
      </w:r>
    </w:p>
    <w:p w:rsidR="00C93A42" w:rsidRDefault="00C93A42" w:rsidP="00C93A42">
      <w:pPr>
        <w:pStyle w:val="ListParagraph"/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2A2DC8">
        <w:rPr>
          <w:rFonts w:ascii="Times New Roman" w:hAnsi="Times New Roman"/>
        </w:rPr>
        <w:t xml:space="preserve">Zastosowanie spektralno-obrazujących systemów do zdalnych pomiarów z poziomu: satelitarnego, lotniczego oraz naziemnego staje coraz bardziej rozpowszechnianą metodą w badaniach środowiskowych, detekcji i monitoringu zagrożeń, w tym skażeń biologiczno-chemicznych, w planowaniu przestrzennym, w działaniach gospodarczo-społecznych oraz są wsparciem do zarządzania kryzysowego (tzw. </w:t>
      </w:r>
      <w:proofErr w:type="spellStart"/>
      <w:r w:rsidRPr="002A2DC8">
        <w:rPr>
          <w:rFonts w:ascii="Times New Roman" w:hAnsi="Times New Roman"/>
        </w:rPr>
        <w:t>Risk</w:t>
      </w:r>
      <w:proofErr w:type="spellEnd"/>
      <w:r w:rsidRPr="002A2DC8">
        <w:rPr>
          <w:rFonts w:ascii="Times New Roman" w:hAnsi="Times New Roman"/>
        </w:rPr>
        <w:t xml:space="preserve"> Management). Dostarczenie aktualnej i wiarygodnej informacji, a przy tym w krótkim czasie, staje się kluczowym celem w działaniach kryzysowych. Przepływ informacji o zagrożeniach w terenie może być wykorzystywany do różnych programów do prognozowania i modelowania zagrożeń. Potrzeba monitoringu środowiska naturalnego człowieka stała się jednym z głównych celów programu Unii Europejskiej GMES (Global Monitoring Environment and Security). Kolejne środowiskowe dyrektywy Komisji Europejskiej oraz protokół z Kioto wymagają od krajów członkowskich przestrzegania dyrektyw i redukcji zanieczyszczeń zgodnie z ustalonymi normami oraz monitorowania stanu środowiska naturalnego. Właśnie proponowany przez nas system stanowi najlepsze narzędzie do monitoring środowiska naturalnego. Aktualnie stosowane systemy są systemami </w:t>
      </w:r>
      <w:proofErr w:type="spellStart"/>
      <w:r w:rsidRPr="002A2DC8">
        <w:rPr>
          <w:rFonts w:ascii="Times New Roman" w:hAnsi="Times New Roman"/>
        </w:rPr>
        <w:t>multispektralnymi</w:t>
      </w:r>
      <w:proofErr w:type="spellEnd"/>
      <w:r w:rsidRPr="002A2DC8">
        <w:rPr>
          <w:rFonts w:ascii="Times New Roman" w:hAnsi="Times New Roman"/>
        </w:rPr>
        <w:t xml:space="preserve"> o szerokich kanałach spektralnych rzędu kilkudziesięciu nanometrów. Obecnym trendem jest stosowanie systemów </w:t>
      </w:r>
      <w:proofErr w:type="spellStart"/>
      <w:r w:rsidRPr="002A2DC8">
        <w:rPr>
          <w:rFonts w:ascii="Times New Roman" w:hAnsi="Times New Roman"/>
        </w:rPr>
        <w:t>hiperspektralnych</w:t>
      </w:r>
      <w:proofErr w:type="spellEnd"/>
      <w:r w:rsidRPr="002A2DC8">
        <w:rPr>
          <w:rFonts w:ascii="Times New Roman" w:hAnsi="Times New Roman"/>
        </w:rPr>
        <w:t xml:space="preserve"> o szerokości kanałów spektralnych paru nanometrów mających znacznie większe możliwości analiz i oceny stanu fizyko-chemicznego badanych obiektów. </w:t>
      </w:r>
      <w:r>
        <w:rPr>
          <w:rFonts w:ascii="Times New Roman" w:hAnsi="Times New Roman"/>
        </w:rPr>
        <w:t xml:space="preserve">Przewaga systemu </w:t>
      </w:r>
      <w:proofErr w:type="spellStart"/>
      <w:r>
        <w:rPr>
          <w:rFonts w:ascii="Times New Roman" w:hAnsi="Times New Roman"/>
        </w:rPr>
        <w:t>hiperspektralnego</w:t>
      </w:r>
      <w:proofErr w:type="spellEnd"/>
      <w:r>
        <w:rPr>
          <w:rFonts w:ascii="Times New Roman" w:hAnsi="Times New Roman"/>
        </w:rPr>
        <w:t xml:space="preserve"> w sensie badawczym i uzyskanych wyników jest oczywista, wymaga to jednak zastosowania rozwiązań z najwyższej półki technologicznej. </w:t>
      </w:r>
    </w:p>
    <w:p w:rsidR="00C93A42" w:rsidRPr="003B5639" w:rsidRDefault="00C93A42" w:rsidP="00C93A42">
      <w:pPr>
        <w:pStyle w:val="Tekstpodstawowy"/>
        <w:numPr>
          <w:ilvl w:val="1"/>
          <w:numId w:val="2"/>
        </w:numPr>
        <w:tabs>
          <w:tab w:val="clear" w:pos="720"/>
          <w:tab w:val="left" w:pos="0"/>
        </w:tabs>
        <w:spacing w:after="0"/>
        <w:ind w:left="0"/>
        <w:jc w:val="both"/>
        <w:rPr>
          <w:rFonts w:ascii="Times New Roman" w:hAnsi="Times New Roman"/>
          <w:sz w:val="22"/>
          <w:szCs w:val="22"/>
          <w:lang w:val="pl-PL"/>
        </w:rPr>
      </w:pPr>
      <w:r w:rsidRPr="003B5639">
        <w:rPr>
          <w:rFonts w:ascii="Times New Roman" w:hAnsi="Times New Roman"/>
          <w:sz w:val="22"/>
          <w:szCs w:val="22"/>
          <w:lang w:val="pl-PL"/>
        </w:rPr>
        <w:t xml:space="preserve">Analiza stanu wiedzy w optoelektronice i systemach monitorowania, dziedzinie nauki objętej tematyką projektu wykazała, że realizacja projektu doprowadzi do powstania nowej klasy urządzenia, łączącego w sobie cechy charakterystyczne dla urządzeń satelitarnych, tj. małe gabaryty, masę i </w:t>
      </w:r>
      <w:proofErr w:type="spellStart"/>
      <w:r w:rsidRPr="003B5639">
        <w:rPr>
          <w:rFonts w:ascii="Times New Roman" w:hAnsi="Times New Roman"/>
          <w:sz w:val="22"/>
          <w:szCs w:val="22"/>
          <w:lang w:val="pl-PL"/>
        </w:rPr>
        <w:t>i</w:t>
      </w:r>
      <w:proofErr w:type="spellEnd"/>
      <w:r w:rsidRPr="003B5639">
        <w:rPr>
          <w:rFonts w:ascii="Times New Roman" w:hAnsi="Times New Roman"/>
          <w:sz w:val="22"/>
          <w:szCs w:val="22"/>
          <w:lang w:val="pl-PL"/>
        </w:rPr>
        <w:t xml:space="preserve"> pobór mocy, a także odporność na wpływ środowiska, z najnowocześniejszymi rozwiązaniami technicznymi w dziedzinie systemów monitorujących, czyli powiązanie systemu obrazującego z systemem spektralnym, zapewnienie bardzo szybkiego przetwarzania danych, zapewnienie urządzeniu odporności na drgania i stabilizację układu optycznego. </w:t>
      </w:r>
    </w:p>
    <w:p w:rsidR="00C93A42" w:rsidRPr="002A2DC8" w:rsidRDefault="00C93A42" w:rsidP="00C93A42">
      <w:pPr>
        <w:pStyle w:val="ListParagraph"/>
        <w:spacing w:after="0" w:line="240" w:lineRule="auto"/>
        <w:ind w:left="0" w:firstLine="360"/>
        <w:jc w:val="both"/>
        <w:rPr>
          <w:rFonts w:ascii="Times New Roman" w:hAnsi="Times New Roman"/>
          <w:lang/>
        </w:rPr>
      </w:pPr>
      <w:r>
        <w:rPr>
          <w:rFonts w:ascii="Times New Roman" w:hAnsi="Times New Roman"/>
        </w:rPr>
        <w:t>Proponowany p</w:t>
      </w:r>
      <w:r w:rsidRPr="002A2DC8">
        <w:rPr>
          <w:rFonts w:ascii="Times New Roman" w:hAnsi="Times New Roman"/>
          <w:lang/>
        </w:rPr>
        <w:t xml:space="preserve">rojekt dotyczy przeprowadzenia prac badawczych, a w ich wyniku opracowania nowoczesnego optycznego systemu monitorującego opartego o urządzenie obrazująco-spektralne najwyższej klasy światowej. Prace nad urządzeniami tego typu nie były dotąd w kraju rozwijane, a na świecie istnieje zaledwie kilka podobnych rozwiązań, odmiennych jednak w wielu aspektach od systemu rozwijanego w proponowanym projekcie. </w:t>
      </w:r>
    </w:p>
    <w:p w:rsidR="00C93A42" w:rsidRPr="002A2DC8" w:rsidRDefault="00C93A42" w:rsidP="00C93A42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 w:rsidRPr="002A2DC8">
        <w:rPr>
          <w:rFonts w:ascii="Times New Roman" w:hAnsi="Times New Roman"/>
        </w:rPr>
        <w:t>Obecnie systemy tej kategorii służące monitoringowi z poziomu satelitarnego i lotniczego, zawierają najnowocześniejsze rozwiązania techniczne i technologiczne z zakresu optoelektroniki . Wzrastające zapotrzebowanie rynkowe na te systemy oraz nasze długoletnie doświadczenie w konstrukcji takich systemów upoważnia nas do wystąpienia z projektem mającym za cel budowę kontynuacje zapoczątkowanych działań and prototypem spektralno-obrazującego systemu, które w dalszym etapie ma zostać wdrożony do produkcji .</w:t>
      </w:r>
    </w:p>
    <w:p w:rsidR="00C93A42" w:rsidRPr="00826730" w:rsidRDefault="00C93A42" w:rsidP="00C93A42">
      <w:pPr>
        <w:pStyle w:val="Tekstpodstawowy2"/>
        <w:ind w:firstLine="360"/>
        <w:jc w:val="both"/>
        <w:rPr>
          <w:sz w:val="22"/>
          <w:szCs w:val="22"/>
        </w:rPr>
      </w:pPr>
      <w:r w:rsidRPr="002A2DC8">
        <w:rPr>
          <w:sz w:val="22"/>
          <w:szCs w:val="22"/>
        </w:rPr>
        <w:t xml:space="preserve">Technicznym punktem ciężkości w teledetekcyjnych programach badawczo-rozwojowych staje się budowa sensorów o odpowiednich parametrach oraz opracowanie metod interpretacji wyników, gwarantujących wymaganą dokładność, szybkość i niski koszt usługi. Jednym z rozwiązań preferowanych ostatnio na świecie jest umieszczanie lekkich systemów pomiarowych na </w:t>
      </w:r>
      <w:r w:rsidRPr="002A2DC8">
        <w:rPr>
          <w:sz w:val="22"/>
          <w:szCs w:val="22"/>
        </w:rPr>
        <w:lastRenderedPageBreak/>
        <w:t xml:space="preserve">bezzałogowych obiektach latających lub lekkich samolotach . Założeniem dla takiej konstrukcji, są niskie koszty eksploatacyjne, możliwość precyzyjnego sterowania oraz stabilny lot poniżej pułapu chmur pozwalający na rejestrację pełnego zakresu widma promieniowania widzialnego i podczerwonego, które w obserwacjach zdalnych z większych wysokości jest silnie pochłaniane w atmosferze. Odpowiedzią na te tendencje i zapotrzebowania jest nasz system przeznaczony do badania i monitoringu środowiska naturalnego metodami teledetekcyjnymi oraz do wsparcia zarządzania kryzysowego. Docelowo nasz system będzie przeznaczony do umieszczenia na: bezzałogowych obiektach latających, lekkich samolotach i helikopterach. Cechami tego zestawu ma być modularna i </w:t>
      </w:r>
      <w:r w:rsidRPr="00826730">
        <w:rPr>
          <w:sz w:val="22"/>
          <w:szCs w:val="22"/>
        </w:rPr>
        <w:t>lekka budowa zapewniająca łatwy montaż na różnych typach obiektów latających.</w:t>
      </w:r>
    </w:p>
    <w:p w:rsidR="00C93A42" w:rsidRPr="00826730" w:rsidRDefault="00C93A42" w:rsidP="00C93A42">
      <w:pPr>
        <w:pStyle w:val="Tekstpodstawowy2"/>
        <w:ind w:firstLine="360"/>
        <w:jc w:val="both"/>
        <w:rPr>
          <w:sz w:val="22"/>
          <w:szCs w:val="22"/>
        </w:rPr>
      </w:pPr>
      <w:r w:rsidRPr="00826730">
        <w:rPr>
          <w:sz w:val="22"/>
          <w:szCs w:val="22"/>
        </w:rPr>
        <w:t>Lista dziedzin cywilnych , w których zobrazowania teledetekcyjne znajdują zastosowania:</w:t>
      </w:r>
    </w:p>
    <w:p w:rsidR="00C93A42" w:rsidRPr="00826730" w:rsidRDefault="00C93A42" w:rsidP="00C93A42">
      <w:pPr>
        <w:tabs>
          <w:tab w:val="left" w:pos="0"/>
        </w:tabs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ab/>
        <w:t xml:space="preserve">Topografia – geomorfologia  </w:t>
      </w:r>
    </w:p>
    <w:p w:rsidR="00C93A42" w:rsidRPr="00826730" w:rsidRDefault="00C93A42" w:rsidP="00C93A42">
      <w:pPr>
        <w:tabs>
          <w:tab w:val="left" w:pos="0"/>
        </w:tabs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ab/>
        <w:t>Kartografia</w:t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</w:p>
    <w:p w:rsidR="00C93A42" w:rsidRPr="00826730" w:rsidRDefault="00C93A42" w:rsidP="00C93A42">
      <w:pPr>
        <w:tabs>
          <w:tab w:val="left" w:pos="0"/>
        </w:tabs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ab/>
        <w:t>Geologia</w:t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</w:p>
    <w:p w:rsidR="00C93A42" w:rsidRPr="00826730" w:rsidRDefault="00C93A42" w:rsidP="00C93A42">
      <w:pPr>
        <w:tabs>
          <w:tab w:val="left" w:pos="0"/>
        </w:tabs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ab/>
        <w:t>LU/LC</w:t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</w:p>
    <w:p w:rsidR="00C93A42" w:rsidRPr="00826730" w:rsidRDefault="00C93A42" w:rsidP="00C93A42">
      <w:pPr>
        <w:tabs>
          <w:tab w:val="left" w:pos="0"/>
        </w:tabs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ab/>
        <w:t>Leśnictwo</w:t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</w:p>
    <w:p w:rsidR="00C93A42" w:rsidRPr="00826730" w:rsidRDefault="00C93A42" w:rsidP="00C93A42">
      <w:pPr>
        <w:tabs>
          <w:tab w:val="left" w:pos="0"/>
        </w:tabs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ab/>
        <w:t>Rolnictwo</w:t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</w:p>
    <w:p w:rsidR="00C93A42" w:rsidRPr="00826730" w:rsidRDefault="00C93A42" w:rsidP="00C93A42">
      <w:pPr>
        <w:tabs>
          <w:tab w:val="left" w:pos="0"/>
        </w:tabs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ab/>
        <w:t>Natura/ekologia</w:t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</w:p>
    <w:p w:rsidR="00C93A42" w:rsidRPr="00826730" w:rsidRDefault="00C93A42" w:rsidP="00C93A42">
      <w:pPr>
        <w:tabs>
          <w:tab w:val="left" w:pos="0"/>
        </w:tabs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ab/>
        <w:t>Hydrologia</w:t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</w:p>
    <w:p w:rsidR="00C93A42" w:rsidRPr="00826730" w:rsidRDefault="00C93A42" w:rsidP="00C93A42">
      <w:pPr>
        <w:tabs>
          <w:tab w:val="left" w:pos="0"/>
        </w:tabs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ab/>
        <w:t>Lądolody/śnieg</w:t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</w:p>
    <w:p w:rsidR="00C93A42" w:rsidRPr="00826730" w:rsidRDefault="00C93A42" w:rsidP="00C93A42">
      <w:pPr>
        <w:tabs>
          <w:tab w:val="left" w:pos="0"/>
        </w:tabs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ab/>
        <w:t>Pożary lasów</w:t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  <w:r w:rsidRPr="00826730">
        <w:rPr>
          <w:sz w:val="22"/>
          <w:szCs w:val="22"/>
          <w:lang/>
        </w:rPr>
        <w:tab/>
      </w:r>
    </w:p>
    <w:p w:rsidR="00C93A42" w:rsidRPr="00826730" w:rsidRDefault="00C93A42" w:rsidP="00C93A42">
      <w:pPr>
        <w:pStyle w:val="Tekstpodstawowy2"/>
        <w:ind w:firstLine="360"/>
        <w:jc w:val="both"/>
        <w:rPr>
          <w:sz w:val="22"/>
          <w:szCs w:val="22"/>
        </w:rPr>
      </w:pPr>
    </w:p>
    <w:p w:rsidR="00C93A42" w:rsidRDefault="00C93A42" w:rsidP="00C93A42">
      <w:pPr>
        <w:tabs>
          <w:tab w:val="left" w:pos="0"/>
        </w:tabs>
        <w:jc w:val="both"/>
        <w:rPr>
          <w:sz w:val="22"/>
          <w:szCs w:val="22"/>
        </w:rPr>
      </w:pPr>
      <w:r w:rsidRPr="00826730">
        <w:rPr>
          <w:sz w:val="22"/>
          <w:szCs w:val="22"/>
        </w:rPr>
        <w:t xml:space="preserve">Odbiorców wyników tego projektu możemy podzielić na trzy grupy. Pierwsza to producenci tego systemu lub jego modułów , w tym także producenci samolotów , którzy takie systemy mogą montować na pokładach produkowanych statków powietrznych. Druga grupa to firmy realizujące usługi w postaci zobrazowań i ich przetwarzania. Trzecia grupa to użytkownicy końcowi. Przede wszystkim są to instytucje lub agencje państwowe i samorządowe. </w:t>
      </w:r>
    </w:p>
    <w:p w:rsidR="00C93A42" w:rsidRPr="00826730" w:rsidRDefault="00C93A42" w:rsidP="00C93A42">
      <w:pPr>
        <w:tabs>
          <w:tab w:val="left" w:pos="0"/>
        </w:tabs>
        <w:jc w:val="both"/>
        <w:rPr>
          <w:sz w:val="22"/>
          <w:szCs w:val="22"/>
          <w:lang/>
        </w:rPr>
      </w:pPr>
      <w:r w:rsidRPr="00826730">
        <w:rPr>
          <w:sz w:val="22"/>
          <w:szCs w:val="22"/>
        </w:rPr>
        <w:t xml:space="preserve">Grupa ta </w:t>
      </w:r>
      <w:r w:rsidRPr="00826730">
        <w:rPr>
          <w:sz w:val="22"/>
          <w:szCs w:val="22"/>
          <w:lang/>
        </w:rPr>
        <w:t>o</w:t>
      </w:r>
      <w:r>
        <w:rPr>
          <w:sz w:val="22"/>
          <w:szCs w:val="22"/>
          <w:lang/>
        </w:rPr>
        <w:t>bejmuje</w:t>
      </w:r>
      <w:r w:rsidRPr="00826730">
        <w:rPr>
          <w:sz w:val="22"/>
          <w:szCs w:val="22"/>
          <w:lang/>
        </w:rPr>
        <w:t xml:space="preserve"> takie jednostki administracji państwowej i samorządowej jak: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  <w:tab w:val="num" w:pos="540"/>
        </w:tabs>
        <w:suppressAutoHyphens/>
        <w:ind w:left="54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 Ministerstwo Środowiska (wiele departamentów)</w:t>
      </w:r>
    </w:p>
    <w:p w:rsidR="00C93A42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left="3240" w:hanging="306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Główny Inspektorat Ochrony Środowiska oraz 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left="3240" w:hanging="306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>Wojewódzkie Inspektoraty Ochrony Środowiska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left="2520" w:hanging="234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 Lasy Państwowe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hanging="378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 Agencja Modernizacji i Restrukturyzacji Rolnictwa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hanging="378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 Straż Pożarną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hanging="378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 Straż Graniczną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hanging="378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 Sztab Generalny WP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hanging="378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 Urzędy marszałkowskie 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hanging="378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 Urząd Marszałkowski Małopolski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hanging="378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 Główny Urząd Geodezji i Kartografii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hanging="378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 Geodeci wojewódzcy,</w:t>
      </w:r>
    </w:p>
    <w:p w:rsidR="00C93A42" w:rsidRPr="00826730" w:rsidRDefault="00C93A42" w:rsidP="00C93A42">
      <w:pPr>
        <w:widowControl w:val="0"/>
        <w:numPr>
          <w:ilvl w:val="0"/>
          <w:numId w:val="1"/>
        </w:numPr>
        <w:tabs>
          <w:tab w:val="clear" w:pos="3960"/>
          <w:tab w:val="left" w:pos="0"/>
        </w:tabs>
        <w:suppressAutoHyphens/>
        <w:ind w:hanging="3780"/>
        <w:jc w:val="both"/>
        <w:rPr>
          <w:sz w:val="22"/>
          <w:szCs w:val="22"/>
          <w:lang/>
        </w:rPr>
      </w:pPr>
      <w:r w:rsidRPr="00826730">
        <w:rPr>
          <w:sz w:val="22"/>
          <w:szCs w:val="22"/>
          <w:lang/>
        </w:rPr>
        <w:t xml:space="preserve"> Inne jednostki </w:t>
      </w:r>
    </w:p>
    <w:p w:rsidR="00C93A42" w:rsidRPr="002A2DC8" w:rsidRDefault="00C93A42" w:rsidP="00C93A42">
      <w:pPr>
        <w:pStyle w:val="Tekstpodstawowy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Systemy </w:t>
      </w:r>
      <w:proofErr w:type="spellStart"/>
      <w:r>
        <w:rPr>
          <w:sz w:val="22"/>
          <w:szCs w:val="22"/>
        </w:rPr>
        <w:t>hiperspektralne</w:t>
      </w:r>
      <w:proofErr w:type="spellEnd"/>
      <w:r>
        <w:rPr>
          <w:sz w:val="22"/>
          <w:szCs w:val="22"/>
        </w:rPr>
        <w:t xml:space="preserve"> są stosunkowo nowym rozwiązaniem i liczba potencjalnych zastosowań , jak i potencjalnych użytkowników końcowych będzie wzrastać z czasem. Istotnym jest aby wejść z produktem</w:t>
      </w:r>
      <w:r w:rsidRPr="00ED6E9B">
        <w:rPr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 w:rsidRPr="00ED6E9B">
        <w:rPr>
          <w:sz w:val="22"/>
          <w:szCs w:val="22"/>
        </w:rPr>
        <w:t xml:space="preserve"> </w:t>
      </w:r>
      <w:r>
        <w:rPr>
          <w:sz w:val="22"/>
          <w:szCs w:val="22"/>
        </w:rPr>
        <w:t>rynek, który właśnie się kształtuje i konkurencja nie jest jeszcze zbyt silna.</w:t>
      </w:r>
    </w:p>
    <w:p w:rsidR="00464FCA" w:rsidRDefault="00C93A42" w:rsidP="00C93A42">
      <w:r>
        <w:br w:type="page"/>
      </w:r>
      <w:bookmarkStart w:id="0" w:name="_GoBack"/>
      <w:bookmarkEnd w:id="0"/>
    </w:p>
    <w:sectPr w:rsidR="00464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horndale A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any AM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 w15:restartNumberingAfterBreak="0">
    <w:nsid w:val="30E61756"/>
    <w:multiLevelType w:val="hybridMultilevel"/>
    <w:tmpl w:val="9AB6AE32"/>
    <w:lvl w:ilvl="0" w:tplc="E2EAA7E8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42"/>
    <w:rsid w:val="00464FCA"/>
    <w:rsid w:val="00C9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82F5C-7159-4C80-BFD9-E0F0FE5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93A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Paragraph">
    <w:name w:val="List Paragraph"/>
    <w:basedOn w:val="Normalny"/>
    <w:rsid w:val="00C93A4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ekstpodstawowy2">
    <w:name w:val="Body Text 2"/>
    <w:basedOn w:val="Normalny"/>
    <w:link w:val="Tekstpodstawowy2Znak"/>
    <w:rsid w:val="00C93A42"/>
    <w:pPr>
      <w:jc w:val="center"/>
    </w:pPr>
    <w:rPr>
      <w:bCs/>
      <w:szCs w:val="20"/>
      <w:lang w:eastAsia="en-US"/>
    </w:rPr>
  </w:style>
  <w:style w:type="character" w:customStyle="1" w:styleId="Tekstpodstawowy2Znak">
    <w:name w:val="Tekst podstawowy 2 Znak"/>
    <w:basedOn w:val="Domylnaczcionkaakapitu"/>
    <w:link w:val="Tekstpodstawowy2"/>
    <w:rsid w:val="00C93A42"/>
    <w:rPr>
      <w:rFonts w:ascii="Times New Roman" w:eastAsia="Times New Roman" w:hAnsi="Times New Roman" w:cs="Times New Roman"/>
      <w:bCs/>
      <w:sz w:val="24"/>
      <w:szCs w:val="20"/>
    </w:rPr>
  </w:style>
  <w:style w:type="paragraph" w:styleId="Tekstpodstawowy">
    <w:name w:val="Body Text"/>
    <w:basedOn w:val="Normalny"/>
    <w:link w:val="TekstpodstawowyZnak"/>
    <w:rsid w:val="00C93A42"/>
    <w:pPr>
      <w:widowControl w:val="0"/>
      <w:suppressAutoHyphens/>
      <w:spacing w:after="120"/>
    </w:pPr>
    <w:rPr>
      <w:rFonts w:ascii="Thorndale AMT" w:eastAsia="Albany AMT" w:hAnsi="Thorndale AMT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C93A42"/>
    <w:rPr>
      <w:rFonts w:ascii="Thorndale AMT" w:eastAsia="Albany AMT" w:hAnsi="Thorndale AMT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1007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Miroslaw Rataj</dc:creator>
  <cp:keywords/>
  <dc:description/>
  <cp:lastModifiedBy>Miroslaw Rataj</cp:lastModifiedBy>
  <cp:revision>1</cp:revision>
  <dcterms:created xsi:type="dcterms:W3CDTF">2018-02-06T14:36:00Z</dcterms:created>
  <dcterms:modified xsi:type="dcterms:W3CDTF">2018-02-06T14:36:00Z</dcterms:modified>
</cp:coreProperties>
</file>