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PROJET DE NOTE MÉTHODOLOGIQUE — Offre de formation IA pour DELM / UGFM</w:t>
      </w:r>
    </w:p>
    <w:p>
      <w:r/>
      <w:r>
        <w:rPr>
          <w:b/>
        </w:rPr>
        <w:t>Objet :</w:t>
      </w:r>
      <w:r>
        <w:t xml:space="preserve"> Réponse de principe aux TDR pour la formation à l'utilisation de l'IA dans le travail quotidien des cadres des programmes VIH et TB, UGFM et partenaires. </w:t>
      </w:r>
      <w:r>
        <w:rPr>
          <w:b/>
        </w:rPr>
        <w:t>Activités 12218 / 12238.</w:t>
      </w:r>
      <w:r/>
    </w:p>
    <w:p>
      <w:r/>
      <w:r>
        <w:rPr>
          <w:b/>
        </w:rPr>
        <w:t>Prestataire candidat : [NOM LÉGAL À RENSEIGNER]</w:t>
      </w:r>
      <w:r>
        <w:t xml:space="preserve">. Méthode proposée : </w:t>
      </w:r>
      <w:r>
        <w:rPr>
          <w:b/>
        </w:rPr>
        <w:t>LN-IA — Apprendre en produisant</w:t>
      </w:r>
      <w:r>
        <w:t>. Version de travail datée du 10 octobre 2026, à valider avant transmission.</w:t>
      </w:r>
    </w:p>
    <w:p>
      <w:pPr>
        <w:pStyle w:val="Heading1"/>
      </w:pPr>
      <w:r>
        <w:t>1. Compréhension du mandat</w:t>
      </w:r>
    </w:p>
    <w:p>
      <w:r>
        <w:t xml:space="preserve">Le cahier des charges vise le renforcement de compétences immédiatement mobilisables : documents professionnels, recherche et synthèse, supports de présentation, analyse de tableaux Excel, indicateurs de suivi, reporting et aide à la décision. Il exige simultanément la maîtrise des prompts, le contrôle humain, la vérification des sources et des chiffres, et la sécurisation des informations propres au secteur de la santé. Le public pourra comprendre jusqu'à soixante professionnels aux fonctions diverses. </w:t>
      </w:r>
      <w:r>
        <w:rPr>
          <w:b/>
        </w:rPr>
        <w:t>[TDR p.1-3]</w:t>
      </w:r>
      <w:r/>
    </w:p>
    <w:p>
      <w:pPr>
        <w:pStyle w:val="Heading1"/>
      </w:pPr>
      <w:r>
        <w:t>2. Principes pédagogiques</w:t>
      </w:r>
    </w:p>
    <w:p>
      <w:r>
        <w:t xml:space="preserve">Notre approche proposée repose sur trois engagements : </w:t>
      </w:r>
      <w:r>
        <w:rPr>
          <w:b/>
        </w:rPr>
        <w:t>utilité métier</w:t>
      </w:r>
      <w:r>
        <w:t xml:space="preserve">, </w:t>
      </w:r>
      <w:r>
        <w:rPr>
          <w:b/>
        </w:rPr>
        <w:t>production vérifiable</w:t>
      </w:r>
      <w:r>
        <w:t xml:space="preserve">, </w:t>
      </w:r>
      <w:r>
        <w:rPr>
          <w:b/>
        </w:rPr>
        <w:t>responsabilité humaine</w:t>
      </w:r>
      <w:r>
        <w:t xml:space="preserve">. Chaque module suit un cycle adapté de la méthode LN-IA : besoin réel → cadrage → prompt → production → contrôle → amélioration → documentation → preuve. Les livrables sont personnels ou collectifs, évalués selon une grille transparente. </w:t>
      </w:r>
      <w:r>
        <w:rPr>
          <w:b/>
        </w:rPr>
        <w:t>[PROP/LN-IA]</w:t>
      </w:r>
      <w:r/>
    </w:p>
    <w:p>
      <w:r>
        <w:t xml:space="preserve">L'équilibre recommandé est </w:t>
      </w:r>
      <w:r>
        <w:rPr>
          <w:b/>
        </w:rPr>
        <w:t>30 % d'apports et démonstrations, 70 % de pratiques encadrées</w:t>
      </w:r>
      <w:r>
        <w:t xml:space="preserve"> ; il s'agit d'un engagement proposé, non d'un ratio fixé par les TDR. Des cas sont proposés pour le suivi-évaluation, l'épidémiologie, la gestion administrative/financière et les partenaires associatifs. Les exercices utilisent par défaut des données fictives et des documents dépourvus d'information personnelle, médicale ou classifiée.</w:t>
      </w:r>
    </w:p>
    <w:p>
      <w:pPr>
        <w:pStyle w:val="Heading1"/>
      </w:pPr>
      <w:r>
        <w:t>3. Diagnostic et personnalisation préalable</w:t>
      </w:r>
    </w:p>
    <w:p>
      <w:r>
        <w:t xml:space="preserve">Un questionnaire initial recueillera les profils, tâches prioritaires, accès numériques, expérience IA, attentes et contraintes de sécurité. Un test de tâches simples (prompts, vérification d'une source, lecture d'un tableau) complétera l'autoévaluation. La synthèse distribuera les participants en cohortes et déterminera les exemples, supports d'appui et niveaux de difficulté. La DELM validera la version finale du programme avant formation. </w:t>
      </w:r>
      <w:r>
        <w:rPr>
          <w:b/>
        </w:rPr>
        <w:t>[TDR p.2 §III.1-2]</w:t>
      </w:r>
      <w:r/>
    </w:p>
    <w:p>
      <w:pPr>
        <w:pStyle w:val="Heading1"/>
      </w:pPr>
      <w:r>
        <w:t>4. Architecture de la formation</w:t>
      </w:r>
    </w:p>
    <w:p>
      <w:r>
        <w:t xml:space="preserve">Six modules </w:t>
      </w:r>
      <w:r>
        <w:rPr>
          <w:b/>
        </w:rPr>
        <w:t>conservent les titres officiels</w:t>
      </w:r>
      <w:r>
        <w:t xml:space="preserve"> des TDR :</w:t>
      </w:r>
    </w:p>
    <w:p>
      <w:pPr>
        <w:pStyle w:val="ListBullet"/>
      </w:pPr>
      <w:r>
        <w:t>Comprendre l'IA générative et sécuriser son usage : usages et limites, tri des données, sécurité.</w:t>
      </w:r>
    </w:p>
    <w:p>
      <w:pPr>
        <w:pStyle w:val="ListBullet"/>
      </w:pPr>
      <w:r>
        <w:t>Maîtriser la formulation des prompts : prompts structurés et itératifs.</w:t>
      </w:r>
    </w:p>
    <w:p>
      <w:pPr>
        <w:pStyle w:val="ListBullet"/>
      </w:pPr>
      <w:r>
        <w:t>Documents professionnels, recherche et synthèse : note, TDR, synthèse sourcée et présentations.</w:t>
      </w:r>
    </w:p>
    <w:p>
      <w:pPr>
        <w:pStyle w:val="ListBullet"/>
      </w:pPr>
      <w:r>
        <w:t>Excel, données, reporting et aide à la décision : traitement de données fictives, contrôles et tableau de bord.</w:t>
      </w:r>
    </w:p>
    <w:p>
      <w:pPr>
        <w:pStyle w:val="ListBullet"/>
      </w:pPr>
      <w:r>
        <w:t>IA responsable, sécurité et approfondissements : confidentialité, biais, gouvernance et options avancées.</w:t>
      </w:r>
    </w:p>
    <w:p>
      <w:pPr>
        <w:pStyle w:val="ListBullet"/>
      </w:pPr>
      <w:r>
        <w:t>Cas intégrateur, évaluation finale et plan d'action : dossier de preuve, soutenance et engagement d'usage.</w:t>
      </w:r>
    </w:p>
    <w:p>
      <w:r>
        <w:t>Voir le document 02-PROGRAMME-SIX-MODULES.md pour les durées, la progression et les sorties par module.</w:t>
      </w:r>
    </w:p>
    <w:p>
      <w:pPr>
        <w:pStyle w:val="Heading1"/>
      </w:pPr>
      <w:r>
        <w:t>5. Modalités et dimensionnement (à valider)</w:t>
      </w:r>
    </w:p>
    <w:p>
      <w:r/>
      <w:r>
        <w:rPr>
          <w:b/>
        </w:rPr>
        <w:t>Scénario de base [PROP] :</w:t>
      </w:r>
      <w:r>
        <w:t xml:space="preserve"> six journées de six heures pédagogiques par participant, soit </w:t>
      </w:r>
      <w:r>
        <w:rPr>
          <w:b/>
        </w:rPr>
        <w:t>36 heures par participant</w:t>
      </w:r>
      <w:r>
        <w:t xml:space="preserve">. À effectif maximal de 60, trois cohortes de 20 conduisent à </w:t>
      </w:r>
      <w:r>
        <w:rPr>
          <w:b/>
        </w:rPr>
        <w:t>18 journées-groupes</w:t>
      </w:r>
      <w:r>
        <w:t xml:space="preserve"> de formation pour un seul déroulement successif. Séances pratiques de préférence en présentiel, appui à distance pour ressources et suivi. Tous les enseignements sont programmés entre octobre et décembre 2026 sous réserve de notification à temps. Une séance de suivi peut avoir lieu ensuite. </w:t>
      </w:r>
      <w:r>
        <w:rPr>
          <w:b/>
        </w:rPr>
        <w:t>[TDR p.3 §V]</w:t>
      </w:r>
      <w:r/>
    </w:p>
    <w:p>
      <w:r>
        <w:t xml:space="preserve">Un formateur principal en IA et ingénierie pédagogique est assisté, selon les ressources et profils, d'experts en données/Excel, santé publique et sécurité/protection des données. Les </w:t>
      </w:r>
      <w:r>
        <w:rPr>
          <w:b/>
        </w:rPr>
        <w:t>noms et qualifications doivent être justifiés</w:t>
      </w:r>
      <w:r>
        <w:t xml:space="preserve"> dans les CV joints ; le présent document ne prétend pas que ces experts sont déjà contractualisés.</w:t>
      </w:r>
    </w:p>
    <w:p>
      <w:pPr>
        <w:pStyle w:val="Heading1"/>
      </w:pPr>
      <w:r>
        <w:t>6. Outils, accès et propriété des données</w:t>
      </w:r>
    </w:p>
    <w:p>
      <w:r>
        <w:t xml:space="preserve">Les outils IA seront choisis après validation des politiques DELM / DSI : assistant rédactionnel, suite bureautique, tableur, outil de présentation et vérification des références. Les versions gratuites/payant, licences, coûts pendant/après formation et conditions d'hébergement devront apparaître dans l'offre finale. Aucun outil grand public ne sera considéré comme automatiquement autorisé pour des données de santé ou données internes. </w:t>
      </w:r>
      <w:r>
        <w:rPr>
          <w:b/>
        </w:rPr>
        <w:t>[TDR p.3 §III.12]</w:t>
      </w:r>
      <w:r/>
    </w:p>
    <w:p>
      <w:r>
        <w:t>Le traitement de fichiers sensibles n'est pas une condition de participation : les démonstrations utilisent des données synthétiques. Un cadre écrit déterminera les usages admissibles. Les conclusions techniques et chiffres seront vérifiés dans les sources ou fichiers originaux avant exploitation opérationnelle.</w:t>
      </w:r>
    </w:p>
    <w:p>
      <w:pPr>
        <w:pStyle w:val="Heading1"/>
      </w:pPr>
      <w:r>
        <w:t>7. Évaluation, transfert et suivi</w:t>
      </w:r>
    </w:p>
    <w:p>
      <w:r>
        <w:t xml:space="preserve">L'évaluation comprend : diagnostic d'entrée, test initial, suivi des productions par grille de compétences, test final équivalent, questionnaire de satisfaction, puis une session de retour d'expérience quelques semaines après la dernière formation. Les indicateurs d'impact proposés sont : taux de réalisation des livrables, conformité des contrôles, variation moyenne au test, part de participants ayant réutilisé au moins une compétence après 30 jours, et irritants restants. </w:t>
      </w:r>
      <w:r>
        <w:rPr>
          <w:b/>
        </w:rPr>
        <w:t>[TDR p.3 §III.10-11]</w:t>
      </w:r>
      <w:r/>
    </w:p>
    <w:p>
      <w:pPr>
        <w:pStyle w:val="Heading1"/>
      </w:pPr>
      <w:r>
        <w:t>8. Livrables et gouvernance</w:t>
      </w:r>
    </w:p>
    <w:p>
      <w:r>
        <w:t xml:space="preserve">Huit livrables du TDR seront remis selon les jalons : note + programme finalisés après diagnostic, synthèse du diagnostic, supports, fiches pratiques, bibliothèque de prompts, mini-guide sécurité, résultats des évaluations/satisfaction, compte rendu de suivi. Le chef de projet pilote le planning, les validations, les versions et le registre des risques. </w:t>
      </w:r>
      <w:r>
        <w:rPr>
          <w:b/>
        </w:rPr>
        <w:t>[TDR p.3 §IV]</w:t>
      </w:r>
      <w:r/>
    </w:p>
    <w:p>
      <w:pPr>
        <w:pStyle w:val="Heading1"/>
      </w:pPr>
      <w:r>
        <w:t>9. Conditions d'acceptation</w:t>
      </w:r>
    </w:p>
    <w:p>
      <w:r>
        <w:t>Les supports seront acceptés s'ils correspondent au programme validé, sont adaptés aux profils, contiennent des démonstrations praticables et respectent la charte d'usage de l'IA approuvée par le commanditaire. Chaque production métier devra comporter une preuve de revue humaine et une indication des sources ou des hypothèses. Les fichiers administratifs et les coûts seront soumis dans les formats exigés par le TDR.</w:t>
      </w:r>
    </w:p>
    <w:p>
      <w:pPr>
        <w:pStyle w:val="Heading1"/>
      </w:pPr>
      <w:r>
        <w:t>10. Réserves de personnalisation avant dépôt</w:t>
      </w:r>
    </w:p>
    <w:p>
      <w:r>
        <w:t xml:space="preserve">Remplacer [NOM LÉGAL] et joindre : </w:t>
      </w:r>
      <w:r>
        <w:rPr>
          <w:b/>
        </w:rPr>
        <w:t>CV détaillés</w:t>
      </w:r>
      <w:r>
        <w:t xml:space="preserve">, </w:t>
      </w:r>
      <w:r>
        <w:rPr>
          <w:b/>
        </w:rPr>
        <w:t>références et attestations réelles</w:t>
      </w:r>
      <w:r>
        <w:t xml:space="preserve">, </w:t>
      </w:r>
      <w:r>
        <w:rPr>
          <w:b/>
        </w:rPr>
        <w:t>équipe</w:t>
      </w:r>
      <w:r>
        <w:t xml:space="preserve">, </w:t>
      </w:r>
      <w:r>
        <w:rPr>
          <w:b/>
        </w:rPr>
        <w:t>devis complet HT/TVA/TTC</w:t>
      </w:r>
      <w:r>
        <w:t xml:space="preserve">, </w:t>
      </w:r>
      <w:r>
        <w:rPr>
          <w:b/>
        </w:rPr>
        <w:t>licences/outils confirmés</w:t>
      </w:r>
      <w:r>
        <w:t xml:space="preserve">, </w:t>
      </w:r>
      <w:r>
        <w:rPr>
          <w:b/>
        </w:rPr>
        <w:t>modalités logistiques validées</w:t>
      </w:r>
      <w:r>
        <w:t xml:space="preserve">, </w:t>
      </w:r>
      <w:r>
        <w:rPr>
          <w:b/>
        </w:rPr>
        <w:t>date/calendrier final</w:t>
      </w:r>
      <w:r>
        <w:t xml:space="preserve">, </w:t>
      </w:r>
      <w:r>
        <w:rPr>
          <w:b/>
        </w:rPr>
        <w:t>signature du prestataire</w:t>
      </w:r>
      <w:r>
        <w:t>. Ce texte constitue une trame éditable ; il n'est pas une preuve de qualification du candidat.</w:t>
      </w:r>
    </w:p>
    <w:sectPr w:rsidR="00FC693F" w:rsidRPr="0006063C" w:rsidSect="00034616">
      <w:headerReference w:type="default" r:id="rId9"/>
      <w:footerReference w:type="default" r:id="rId10"/>
      <w:pgSz w:w="12240" w:h="15840"/>
      <w:pgMar w:top="1191" w:right="1332" w:bottom="1020" w:left="1332"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9404A"/>
        <w:sz w:val="16"/>
      </w:rPr>
      <w:t>10.10.2026  •  Dossier de travail — non soumis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37C92"/>
      </w:rPr>
      <w:t>LN-IA  |  TDR DELM / UGFM  |  PROJET À PERSONNALISER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w:hAnsi="Aptos"/>
      <w:b/>
      <w:bCs/>
      <w:color w:val="0F2D4E"/>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w:hAnsi="Aptos"/>
      <w:b/>
      <w:bCs/>
      <w:color w:val="0F2D4E"/>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w:hAnsi="Aptos"/>
      <w:b/>
      <w:bCs/>
      <w:color w:val="0F2D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F2D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NOTE_METHODOLOGIQUE_LNIA_TDR_FM</dc:title>
  <dc:subject/>
  <dc:creator>LN-IA — projet de travail</dc:creator>
  <cp:keywords/>
  <dc:description>generated by python-docx</dc:description>
  <cp:lastModifiedBy/>
  <cp:revision>1</cp:revision>
  <dcterms:created xsi:type="dcterms:W3CDTF">2013-12-23T23:15:00Z</dcterms:created>
  <dcterms:modified xsi:type="dcterms:W3CDTF">2013-12-23T23:15:00Z</dcterms:modified>
  <cp:category/>
</cp:coreProperties>
</file>