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takes over</w:t>
      </w:r>
      <w:r>
        <w:t xml:space="preserve"> </w:t>
      </w:r>
      <w:r>
        <w:t xml:space="preserve">until the application is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</w:t>
      </w:r>
      <w:r>
        <w:t xml:space="preserve"> </w:t>
      </w:r>
      <w:r>
        <w:t xml:space="preserve">rejected, the service provider can make updates and propose the application</w:t>
      </w:r>
      <w:r>
        <w:t xml:space="preserve"> </w:t>
      </w:r>
      <w:r>
        <w:t xml:space="preserve">again.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1"/>
        <w:gridCol w:w="1288"/>
        <w:gridCol w:w="3050"/>
        <w:gridCol w:w="12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prequalification_pending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product application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for all the product types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433"/>
        <w:gridCol w:w="542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5" Target="../technical/auth/authn-model.md#party-market-actors" TargetMode="External" /><Relationship Type="http://schemas.openxmlformats.org/officeDocument/2006/relationships/hyperlink" Id="rId33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5" Target="../technical/auth/authn-model.md#party-market-actors" TargetMode="External" /><Relationship Type="http://schemas.openxmlformats.org/officeDocument/2006/relationships/hyperlink" Id="rId33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2026-02-12T08:03:49Z</dcterms:created>
  <dcterms:modified xsi:type="dcterms:W3CDTF">2026-02-12T08:03:49Z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