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e75cd79cd9987cce09b513e407d38e0b7a32a64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0"/>
        <w:gridCol w:w="6559"/>
        <w:gridCol w:w="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SPGM-VAL003</w:t>
            </w:r>
          </w:p>
        </w:tc>
        <w:tc>
          <w:tcPr/>
          <w:p>
            <w:pPr>
              <w:pStyle w:val="Compact"/>
            </w:pPr>
            <w:r>
              <w:t xml:space="preserve">The flexible power of the controllable unit must not exceed 100% of the combined maximum active power of all its technical resources.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active before it can be added to a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2026-10-26T14:08:01Z</dcterms:created>
  <dcterms:modified xsi:type="dcterms:W3CDTF">2026-10-26T14:08:01Z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