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APBRP-BRP001</w:t>
            </w:r>
          </w:p>
        </w:tc>
        <w:tc>
          <w:tcPr/>
          <w:p>
            <w:pPr>
              <w:pStyle w:val="Compact"/>
            </w:pPr>
            <w:r>
              <w:t xml:space="preserve">Read their own APBRP records.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