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CUS-BRP001</w:t>
            </w:r>
          </w:p>
        </w:tc>
        <w:tc>
          <w:tcPr/>
          <w:p>
            <w:pPr>
              <w:pStyle w:val="Compact"/>
            </w:pPr>
            <w:r>
              <w:t xml:space="preserve">Read CU suspensions on CU where they are currently BRP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CUS-BRP002</w:t>
            </w:r>
          </w:p>
        </w:tc>
        <w:tc>
          <w:tcPr/>
          <w:p>
            <w:pPr>
              <w:pStyle w:val="Compact"/>
            </w:pPr>
            <w:r>
              <w:t xml:space="preserve">Read CU suspension history on CU where they were BRP on the AP during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2026-08-28T07:18:17Z</dcterms:created>
  <dcterms:modified xsi:type="dcterms:W3CDTF">2026-08-28T07:18:17Z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