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2265"/>
        <w:gridCol w:w="238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  <w:r>
              <w:t xml:space="preserve">Whether the service providing group can ramp in accordance with the product requirements during both activation and deactivation.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  <w:r>
              <w:t xml:space="preserve">Free text description of ramping details. Only required for product Manual Frequency Restoration (mFRR).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SPGPA-VAL007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ramping_capability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SPGPA-VAL008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ramping_description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SPGPA-VAL010</w:t>
            </w:r>
          </w:p>
        </w:tc>
        <w:tc>
          <w:tcPr/>
          <w:p>
            <w:pPr>
              <w:pStyle w:val="Compact"/>
            </w:pPr>
            <w:r>
              <w:t xml:space="preserve">Product types can be applied for only once per SPG and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1"/>
        <w:gridCol w:w="6705"/>
        <w:gridCol w:w="4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or set from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