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service-providing-group"/>
    <w:p>
      <w:pPr>
        <w:pStyle w:val="Overskrift1"/>
      </w:pPr>
      <w:r>
        <w:t xml:space="preserve">Service Providing Group</w:t>
      </w:r>
    </w:p>
    <w:p>
      <w:pPr>
        <w:pStyle w:val="FirstParagraph"/>
      </w:pPr>
      <w:r>
        <w:t xml:space="preserve">A group of controllable units to be used in a flexibility product on the market.</w:t>
      </w:r>
    </w:p>
    <w:p>
      <w:pPr>
        <w:pStyle w:val="BodyText"/>
      </w:pPr>
      <w:r>
        <w:t xml:space="preserve">For more information about the service providing group (SPG) concept and its</w:t>
      </w:r>
      <w:r>
        <w:t xml:space="preserve"> </w:t>
      </w:r>
      <w:r>
        <w:t xml:space="preserve">role in the flexibility structure,</w:t>
      </w:r>
      <w:r>
        <w:t xml:space="preserve"> </w:t>
      </w:r>
      <w:r>
        <w:t xml:space="preserve">see</w:t>
      </w:r>
      <w:r>
        <w:t xml:space="preserve"> </w:t>
      </w:r>
      <w:hyperlink r:id="rId20">
        <w:r>
          <w:rPr>
            <w:rStyle w:val="Hyperkobling"/>
          </w:rPr>
          <w:t xml:space="preserve">Conceptual Model and Terminology</w:t>
        </w:r>
      </w:hyperlink>
      <w:r>
        <w:t xml:space="preserve">.</w:t>
      </w:r>
    </w:p>
    <w:bookmarkStart w:id="24" w:name="Xa385dd54d3d57ea969e1ad8900f075650b3a76c"/>
    <w:p>
      <w:pPr>
        <w:pStyle w:val="Overskrift2"/>
      </w:pPr>
      <w:r>
        <w:t xml:space="preserve">Status transitions for service providing group</w:t>
      </w:r>
    </w:p>
    <w:p>
      <w:pPr>
        <w:pStyle w:val="FirstParagraph"/>
      </w:pPr>
      <w:r>
        <w:t xml:space="preserve">The following diagram shows the status and its transitions for service providing</w:t>
      </w:r>
      <w:r>
        <w:t xml:space="preserve"> </w:t>
      </w:r>
      <w:r>
        <w:t xml:space="preserve">groups.</w:t>
      </w:r>
    </w:p>
    <w:p>
      <w:pPr>
        <w:pStyle w:val="BodyText"/>
      </w:pPr>
      <w:r>
        <w:t xml:space="preserve">The service provider is responsible for creating a new service providing group.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Once the SPG registration is complete,</w:t>
      </w:r>
      <w:r>
        <w:t xml:space="preserve"> </w:t>
      </w:r>
      <w:r>
        <w:t xml:space="preserve">the service provider updates the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  <w:r>
        <w:t xml:space="preserve"> </w:t>
      </w:r>
      <w:r>
        <w:t xml:space="preserve">The service provider can terminate the service providing group at any time.</w:t>
      </w:r>
      <w:r>
        <w:t xml:space="preserve"> </w:t>
      </w:r>
      <w:r>
        <w:t xml:space="preserve">After termination, the status can only be edited by a FIS operator.</w:t>
      </w:r>
    </w:p>
    <w:p>
      <w:pPr>
        <w:pStyle w:val="BodyText"/>
      </w:pPr>
      <w:hyperlink r:id="rId21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3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Registration Status</w:t>
            </w:r>
          </w:p>
        </w:tc>
      </w:tr>
    </w:tbl>
    <w:p>
      <w:pPr>
        <w:pStyle w:val="ImageCaption"/>
      </w:pPr>
      <w:r>
        <w:t xml:space="preserve">Service Providing Group Registration Status</w:t>
      </w:r>
    </w:p>
    <w:bookmarkEnd w:id="24"/>
    <w:bookmarkStart w:id="27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kobling"/>
          </w:rPr>
          <w:t xml:space="preserve">Download docx</w:t>
        </w:r>
      </w:hyperlink>
    </w:p>
    <w:bookmarkEnd w:id="27"/>
    <w:bookmarkStart w:id="29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2152"/>
        <w:gridCol w:w="3497"/>
        <w:gridCol w:w="5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Free text name of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managing the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  <w:r>
              <w:t xml:space="preserve">The bidding zone that restricts which CUs that can be added to the group. Also known as scheduling area or price area for TSO.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NO1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NO5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  <w:r>
              <w:t xml:space="preserve"> </w:t>
            </w:r>
            <w:r>
              <w:t xml:space="preserve">when created. Can then be updated to the other values. Once</w:t>
            </w:r>
            <w:r>
              <w:t xml:space="preserve"> </w:t>
            </w:r>
            <w:r>
              <w:rPr>
                <w:rStyle w:val="VerbatimChar"/>
              </w:rPr>
              <w:t xml:space="preserve">terminated</w:t>
            </w:r>
            <w:r>
              <w:t xml:space="preserve">, only editable by a FIS operator.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  <w:r>
              <w:t xml:space="preserve">Free text field for extra information about the service providing group if needed.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5185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SPG-VAL001</w:t>
            </w:r>
          </w:p>
        </w:tc>
        <w:tc>
          <w:tcPr/>
          <w:p>
            <w:pPr>
              <w:pStyle w:val="Compact"/>
            </w:pPr>
            <w:r>
              <w:t xml:space="preserve">An empty service providing group cannot be activated.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member CU</w:t>
            </w:r>
          </w:p>
        </w:tc>
        <w:tc>
          <w:tcPr/>
          <w:p>
            <w:pPr>
              <w:pStyle w:val="Compact"/>
            </w:pPr>
            <w:r>
              <w:t xml:space="preserve">When status is not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</w:tbl>
    <w:bookmarkEnd w:id="31"/>
    <w:bookmarkStart w:id="46" w:name="authorization"/>
    <w:p>
      <w:pPr>
        <w:pStyle w:val="Overskrift2"/>
      </w:pPr>
      <w:r>
        <w:t xml:space="preserve">Authorization</w:t>
      </w:r>
    </w:p>
    <w:bookmarkStart w:id="43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SPG-COM001</w:t>
            </w:r>
          </w:p>
        </w:tc>
        <w:tc>
          <w:tcPr/>
          <w:p>
            <w:pPr>
              <w:pStyle w:val="Compact"/>
            </w:pPr>
            <w:r>
              <w:t xml:space="preserve">Read history on SPG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SPG-SO001</w:t>
            </w:r>
          </w:p>
        </w:tc>
        <w:tc>
          <w:tcPr/>
          <w:p>
            <w:pPr>
              <w:pStyle w:val="Compact"/>
            </w:pPr>
            <w:r>
              <w:t xml:space="preserve">Read SPG containing grid prequalification resources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SPG-SO002</w:t>
            </w:r>
          </w:p>
        </w:tc>
        <w:tc>
          <w:tcPr/>
          <w:p>
            <w:pPr>
              <w:pStyle w:val="Compact"/>
            </w:pPr>
            <w:r>
              <w:t xml:space="preserve">Read SPG containing product applications targeted at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SPG-SP001</w:t>
            </w:r>
          </w:p>
        </w:tc>
        <w:tc>
          <w:tcPr/>
          <w:p>
            <w:pPr>
              <w:pStyle w:val="Compact"/>
            </w:pPr>
            <w:r>
              <w:t xml:space="preserve">Read, create and update SPG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37"/>
        <w:gridCol w:w="709"/>
        <w:gridCol w:w="591"/>
        <w:gridCol w:w="472"/>
        <w:gridCol w:w="472"/>
        <w:gridCol w:w="709"/>
        <w:gridCol w:w="472"/>
        <w:gridCol w:w="591"/>
        <w:gridCol w:w="472"/>
        <w:gridCol w:w="59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bidding_zone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additional_information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api/v1/index.html#/operations/list_service_providing_group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0" Target="../concepts/conceptual-model.md" TargetMode="External" /><Relationship Type="http://schemas.openxmlformats.org/officeDocument/2006/relationships/hyperlink" Id="rId22" Target="../diagrams/service_providing_group_status.plantuml" TargetMode="External" /><Relationship Type="http://schemas.openxmlformats.org/officeDocument/2006/relationships/hyperlink" Id="rId21" Target="../diagrams/service_providing_group_status.png" TargetMode="External" /><Relationship Type="http://schemas.openxmlformats.org/officeDocument/2006/relationships/hyperlink" Id="rId26" Target="../download/service_providing_group.docx" TargetMode="External" /><Relationship Type="http://schemas.openxmlformats.org/officeDocument/2006/relationships/hyperlink" Id="rId23" Target="./index.md#status" TargetMode="External" /><Relationship Type="http://schemas.openxmlformats.org/officeDocument/2006/relationships/hyperlink" Id="rId28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2026-06-15T09:30:36Z</dcterms:created>
  <dcterms:modified xsi:type="dcterms:W3CDTF">2026-06-15T09:30:36Z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