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CUS-BRP001</w:t>
            </w:r>
          </w:p>
        </w:tc>
        <w:tc>
          <w:tcPr/>
          <w:p>
            <w:pPr>
              <w:pStyle w:val="Compact"/>
            </w:pPr>
            <w:r>
              <w:t xml:space="preserve">Read CU suspensions on CU where they are currently BRP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CUS-BRP002</w:t>
            </w:r>
          </w:p>
        </w:tc>
        <w:tc>
          <w:tcPr/>
          <w:p>
            <w:pPr>
              <w:pStyle w:val="Compact"/>
            </w:pPr>
            <w:r>
              <w:t xml:space="preserve">Read CU suspension history on CU where they were BRP on the AP during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2026-10-01T13:29:59Z</dcterms:created>
  <dcterms:modified xsi:type="dcterms:W3CDTF">2026-10-01T13:29:59Z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