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2265"/>
        <w:gridCol w:w="238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Whether the service providing group can ramp in accordance with the product requirements during both activation and deactivation.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Frequency Restoration (mFRR).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application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  <w:r>
              <w:t xml:space="preserve">When the application was last marked complete by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SPGPA-VAL010</w:t>
            </w:r>
          </w:p>
        </w:tc>
        <w:tc>
          <w:tcPr/>
          <w:p>
            <w:pPr>
              <w:pStyle w:val="Compact"/>
            </w:pPr>
            <w:r>
              <w:t xml:space="preserve">Product types can be applied for only once per SPG and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SPGPA-VAL011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different from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complete_at</w:t>
            </w:r>
            <w:r>
              <w:t xml:space="preserve"> </w:t>
            </w:r>
            <w:r>
              <w:t xml:space="preserve">must be 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1"/>
        <w:gridCol w:w="6705"/>
        <w:gridCol w:w="4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 set from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2026-10-01T13:29:58Z</dcterms:created>
  <dcterms:modified xsi:type="dcterms:W3CDTF">2026-10-01T13:29:58Z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