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units and resources that the</w:t>
      </w:r>
      <w:r>
        <w:t xml:space="preserve"> </w:t>
      </w:r>
      <w:r>
        <w:t xml:space="preserve">controllable unit consists of. The purpose of this resource is to register</w:t>
      </w:r>
      <w:r>
        <w:t xml:space="preserve"> </w:t>
      </w:r>
      <w:r>
        <w:t xml:space="preserve">information that can help procuring system operators performing product</w:t>
      </w:r>
      <w:r>
        <w:t xml:space="preserve"> </w:t>
      </w:r>
      <w:r>
        <w:t xml:space="preserve">pre-qualification and simplify that evaluation if controllable units are</w:t>
      </w:r>
      <w:r>
        <w:t xml:space="preserve"> </w:t>
      </w:r>
      <w:r>
        <w:t xml:space="preserve">identical. A controllable unit can contain several technical 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4"/>
        <w:gridCol w:w="2258"/>
        <w:gridCol w:w="1173"/>
        <w:gridCol w:w="16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Free text details about the technical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2026-01-26T08:38:55Z</dcterms:created>
  <dcterms:modified xsi:type="dcterms:W3CDTF">2026-01-26T08:38:55Z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