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3" w:name="event"/>
    <w:p>
      <w:pPr>
        <w:pStyle w:val="Overskrift1"/>
      </w:pPr>
      <w:r>
        <w:t xml:space="preserve">Event</w:t>
      </w:r>
    </w:p>
    <w:p>
      <w:pPr>
        <w:pStyle w:val="FirstParagraph"/>
      </w:pPr>
      <w:r>
        <w:t xml:space="preserve">An event happening in the system.</w:t>
      </w:r>
    </w:p>
    <w:bookmarkStart w:id="22" w:name="relevant-links"/>
    <w:p>
      <w:pPr>
        <w:pStyle w:val="Overskrift2"/>
      </w:pPr>
      <w:r>
        <w:t xml:space="preserve">Relevant links</w:t>
      </w:r>
    </w:p>
    <w:p>
      <w:pPr>
        <w:pStyle w:val="Compact"/>
        <w:numPr>
          <w:ilvl w:val="0"/>
          <w:numId w:val="1001"/>
        </w:numPr>
      </w:pPr>
      <w:hyperlink r:id="rId20">
        <w:r>
          <w:rPr>
            <w:rStyle w:val="Hyperkobling"/>
          </w:rPr>
          <w:t xml:space="preserve">API Documentation</w:t>
        </w:r>
      </w:hyperlink>
    </w:p>
    <w:p>
      <w:pPr>
        <w:pStyle w:val="Compact"/>
        <w:numPr>
          <w:ilvl w:val="0"/>
          <w:numId w:val="1001"/>
        </w:numPr>
      </w:pPr>
      <w:hyperlink r:id="rId21">
        <w:r>
          <w:rPr>
            <w:rStyle w:val="Hyperkobling"/>
          </w:rPr>
          <w:t xml:space="preserve">Download docx</w:t>
        </w:r>
      </w:hyperlink>
    </w:p>
    <w:bookmarkEnd w:id="22"/>
    <w:bookmarkStart w:id="23" w:name="fields"/>
    <w:p>
      <w:pPr>
        <w:pStyle w:val="Overskrift2"/>
      </w:pPr>
      <w:r>
        <w:t xml:space="preserve">Fields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688"/>
        <w:gridCol w:w="2069"/>
        <w:gridCol w:w="3900"/>
        <w:gridCol w:w="26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Format</w:t>
            </w:r>
          </w:p>
        </w:tc>
        <w:tc>
          <w:tcPr/>
          <w:p>
            <w:pPr>
              <w:pStyle w:val="Compact"/>
            </w:pPr>
            <w:r>
              <w:t xml:space="preserve">Reference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Unique surrogate identifier.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specversion</w:t>
            </w:r>
          </w:p>
        </w:tc>
        <w:tc>
          <w:tcPr/>
          <w:p>
            <w:pPr>
              <w:pStyle w:val="Compact"/>
            </w:pPr>
            <w:r>
              <w:t xml:space="preserve">The version of the CloudEvents specification followed by the resource.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time</w:t>
            </w:r>
          </w:p>
        </w:tc>
        <w:tc>
          <w:tcPr/>
          <w:p>
            <w:pPr>
              <w:pStyle w:val="Compact"/>
            </w:pPr>
            <w:r>
              <w:t xml:space="preserve">The time at which the event was generated.</w:t>
            </w:r>
          </w:p>
        </w:tc>
        <w:tc>
          <w:tcPr/>
          <w:p>
            <w:pPr>
              <w:pStyle w:val="Compact"/>
            </w:pPr>
            <w:r>
              <w:t xml:space="preserve">timestamp with time zone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The type of the event.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Pattern:</w:t>
            </w:r>
            <w:r>
              <w:t xml:space="preserve"> </w:t>
            </w:r>
            <w:r>
              <w:rPr>
                <w:rStyle w:val="VerbatimChar"/>
              </w:rPr>
              <w:t xml:space="preserve">^no.elhub.flex.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source</w:t>
            </w:r>
          </w:p>
        </w:tc>
        <w:tc>
          <w:tcPr/>
          <w:p>
            <w:pPr>
              <w:pStyle w:val="Compact"/>
            </w:pPr>
            <w:r>
              <w:t xml:space="preserve">The URI of the resource concerned by the event.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Pattern:</w:t>
            </w:r>
            <w:r>
              <w:t xml:space="preserve"> </w:t>
            </w:r>
            <w:r>
              <w:rPr>
                <w:rStyle w:val="VerbatimChar"/>
              </w:rPr>
              <w:t xml:space="preserve">^(\/([a-z][a-z_]*\|[0-9]+))+$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subject</w:t>
            </w:r>
          </w:p>
        </w:tc>
        <w:tc>
          <w:tcPr/>
          <w:p>
            <w:pPr>
              <w:pStyle w:val="Compact"/>
            </w:pPr>
            <w:r>
              <w:t xml:space="preserve">The URI of the specific subject of the event within the resource pointed by</w:t>
            </w:r>
            <w:r>
              <w:t xml:space="preserve"> </w:t>
            </w:r>
            <w:r>
              <w:rPr>
                <w:rStyle w:val="VerbatimChar"/>
              </w:rPr>
              <w:t xml:space="preserve">source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Read only</w:t>
            </w:r>
            <w:r>
              <w:t xml:space="preserve">Used in cases where an event happens on a subresource, but we still want to consider it as an event on the main resource, for clarity.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data</w:t>
            </w:r>
          </w:p>
        </w:tc>
        <w:tc>
          <w:tcPr/>
          <w:p>
            <w:pPr>
              <w:pStyle w:val="Compact"/>
            </w:pPr>
            <w:r>
              <w:t xml:space="preserve">The data of the event.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</w:tbl>
    <w:bookmarkEnd w:id="23"/>
    <w:bookmarkStart w:id="24" w:name="validation-rules"/>
    <w:p>
      <w:pPr>
        <w:pStyle w:val="Overskrift2"/>
      </w:pPr>
      <w:r>
        <w:t xml:space="preserve">Validation Rules</w:t>
      </w:r>
    </w:p>
    <w:p>
      <w:pPr>
        <w:pStyle w:val="FirstParagraph"/>
      </w:pPr>
      <w:r>
        <w:t xml:space="preserve">No validation rules.</w:t>
      </w:r>
    </w:p>
    <w:bookmarkEnd w:id="24"/>
    <w:bookmarkStart w:id="25" w:name="notifications"/>
    <w:p>
      <w:pPr>
        <w:pStyle w:val="Overskrift2"/>
      </w:pPr>
      <w:r>
        <w:t xml:space="preserve">Notifications</w:t>
      </w:r>
    </w:p>
    <w:p>
      <w:pPr>
        <w:pStyle w:val="FirstParagraph"/>
      </w:pPr>
      <w:r>
        <w:t xml:space="preserve">No notifications.</w:t>
      </w:r>
    </w:p>
    <w:bookmarkEnd w:id="25"/>
    <w:bookmarkStart w:id="42" w:name="authorization"/>
    <w:p>
      <w:pPr>
        <w:pStyle w:val="Overskrift2"/>
      </w:pPr>
      <w:r>
        <w:t xml:space="preserve">Authorization</w:t>
      </w:r>
    </w:p>
    <w:bookmarkStart w:id="39" w:name="resource-level-authorization"/>
    <w:p>
      <w:pPr>
        <w:pStyle w:val="Overskrift3"/>
      </w:pPr>
      <w:r>
        <w:t xml:space="preserve">Resource Level Authorization</w:t>
      </w:r>
    </w:p>
    <w:p>
      <w:pPr>
        <w:pStyle w:val="FirstParagraph"/>
      </w:pPr>
      <w:r>
        <w:t xml:space="preserve">Below is the</w:t>
      </w:r>
      <w:r>
        <w:t xml:space="preserve"> </w:t>
      </w:r>
      <w:hyperlink r:id="rId26">
        <w:r>
          <w:rPr>
            <w:rStyle w:val="Hyperkobling"/>
          </w:rPr>
          <w:t xml:space="preserve">RLA</w:t>
        </w:r>
      </w:hyperlink>
      <w:r>
        <w:t xml:space="preserve"> </w:t>
      </w:r>
      <w:r>
        <w:t xml:space="preserve">for the</w:t>
      </w:r>
      <w:r>
        <w:t xml:space="preserve"> </w:t>
      </w:r>
      <w:r>
        <w:t xml:space="preserve">resource. The default policy is</w:t>
      </w:r>
      <w:r>
        <w:t xml:space="preserve"> </w:t>
      </w:r>
      <w:r>
        <w:rPr>
          <w:b/>
          <w:bCs/>
        </w:rPr>
        <w:t xml:space="preserve">deny</w:t>
      </w:r>
      <w:r>
        <w:t xml:space="preserve">.</w:t>
      </w:r>
    </w:p>
    <w:bookmarkStart w:id="27" w:name="anonymous"/>
    <w:p>
      <w:pPr>
        <w:pStyle w:val="Overskrift4"/>
      </w:pPr>
      <w:r>
        <w:t xml:space="preserve">Anonymous</w:t>
      </w:r>
    </w:p>
    <w:p>
      <w:pPr>
        <w:pStyle w:val="FirstParagraph"/>
      </w:pPr>
      <w:r>
        <w:t xml:space="preserve">No policies.</w:t>
      </w:r>
    </w:p>
    <w:bookmarkEnd w:id="27"/>
    <w:bookmarkStart w:id="28" w:name="entity"/>
    <w:p>
      <w:pPr>
        <w:pStyle w:val="Overskrift4"/>
      </w:pPr>
      <w:r>
        <w:t xml:space="preserve">Entity</w:t>
      </w:r>
    </w:p>
    <w:p>
      <w:pPr>
        <w:pStyle w:val="FirstParagraph"/>
      </w:pPr>
      <w:r>
        <w:t xml:space="preserve">No policies.</w:t>
      </w:r>
    </w:p>
    <w:bookmarkEnd w:id="28"/>
    <w:bookmarkStart w:id="29" w:name="common"/>
    <w:p>
      <w:pPr>
        <w:pStyle w:val="Overskrift4"/>
      </w:pPr>
      <w:r>
        <w:t xml:space="preserve">Common</w:t>
      </w:r>
    </w:p>
    <w:p>
      <w:pPr>
        <w:pStyle w:val="FirstParagraph"/>
      </w:pPr>
      <w:r>
        <w:t xml:space="preserve">No policies.</w:t>
      </w:r>
    </w:p>
    <w:bookmarkEnd w:id="29"/>
    <w:bookmarkStart w:id="30" w:name="balance-responsible-party"/>
    <w:p>
      <w:pPr>
        <w:pStyle w:val="Overskrift4"/>
      </w:pPr>
      <w:r>
        <w:t xml:space="preserve">Balance Responsible Party</w:t>
      </w:r>
    </w:p>
    <w:p>
      <w:pPr>
        <w:pStyle w:val="FirstParagraph"/>
      </w:pPr>
      <w:r>
        <w:t xml:space="preserve">No policies.</w:t>
      </w:r>
    </w:p>
    <w:bookmarkEnd w:id="30"/>
    <w:bookmarkStart w:id="31" w:name="end-user"/>
    <w:p>
      <w:pPr>
        <w:pStyle w:val="Overskrift4"/>
      </w:pPr>
      <w:r>
        <w:t xml:space="preserve">End User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07"/>
        <w:gridCol w:w="6131"/>
        <w:gridCol w:w="68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EVENT-EU001</w:t>
            </w:r>
          </w:p>
        </w:tc>
        <w:tc>
          <w:tcPr/>
          <w:p>
            <w:pPr>
              <w:pStyle w:val="Compact"/>
            </w:pPr>
            <w:r>
              <w:t xml:space="preserve">Read events related to controllable units when they are EU on the AP.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EVENT-EU002</w:t>
            </w:r>
          </w:p>
        </w:tc>
        <w:tc>
          <w:tcPr/>
          <w:p>
            <w:pPr>
              <w:pStyle w:val="Compact"/>
            </w:pPr>
            <w:r>
              <w:t xml:space="preserve">Read events related to CUSP when they are EU on the AP.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EVENT-EU003</w:t>
            </w:r>
          </w:p>
        </w:tc>
        <w:tc>
          <w:tcPr/>
          <w:p>
            <w:pPr>
              <w:pStyle w:val="Compact"/>
            </w:pPr>
            <w:r>
              <w:t xml:space="preserve">Read events related to technical resources when they are EU on the AP.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1"/>
    <w:bookmarkStart w:id="32" w:name="energy-supplier"/>
    <w:p>
      <w:pPr>
        <w:pStyle w:val="Overskrift4"/>
      </w:pPr>
      <w:r>
        <w:t xml:space="preserve">Energy Supplier</w:t>
      </w:r>
    </w:p>
    <w:p>
      <w:pPr>
        <w:pStyle w:val="FirstParagraph"/>
      </w:pPr>
      <w:r>
        <w:t xml:space="preserve">No policies.</w:t>
      </w:r>
    </w:p>
    <w:bookmarkEnd w:id="32"/>
    <w:bookmarkStart w:id="33" w:name="flexibility-information-system-operator"/>
    <w:p>
      <w:pPr>
        <w:pStyle w:val="Overskrift4"/>
      </w:pPr>
      <w:r>
        <w:t xml:space="preserve">Flexibility Information System Operator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EVENT-FISO001</w:t>
            </w:r>
          </w:p>
        </w:tc>
        <w:tc>
          <w:tcPr/>
          <w:p>
            <w:pPr>
              <w:pStyle w:val="Compact"/>
            </w:pPr>
            <w:r>
              <w:t xml:space="preserve">Read all events.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3"/>
    <w:bookmarkStart w:id="34" w:name="market-operator"/>
    <w:p>
      <w:pPr>
        <w:pStyle w:val="Overskrift4"/>
      </w:pPr>
      <w:r>
        <w:t xml:space="preserve">Market Operator</w:t>
      </w:r>
    </w:p>
    <w:p>
      <w:pPr>
        <w:pStyle w:val="FirstParagraph"/>
      </w:pPr>
      <w:r>
        <w:t xml:space="preserve">No policies.</w:t>
      </w:r>
    </w:p>
    <w:bookmarkEnd w:id="34"/>
    <w:bookmarkStart w:id="35" w:name="organisation"/>
    <w:p>
      <w:pPr>
        <w:pStyle w:val="Overskrift4"/>
      </w:pPr>
      <w:r>
        <w:t xml:space="preserve">Organisation</w:t>
      </w:r>
    </w:p>
    <w:p>
      <w:pPr>
        <w:pStyle w:val="FirstParagraph"/>
      </w:pPr>
      <w:r>
        <w:t xml:space="preserve">No policies.</w:t>
      </w:r>
    </w:p>
    <w:bookmarkEnd w:id="35"/>
    <w:bookmarkStart w:id="36" w:name="system-operator"/>
    <w:p>
      <w:pPr>
        <w:pStyle w:val="Overskrift4"/>
      </w:pPr>
      <w:r>
        <w:t xml:space="preserve">System Operator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639"/>
        <w:gridCol w:w="6886"/>
        <w:gridCol w:w="39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EVENT-SO001</w:t>
            </w:r>
          </w:p>
        </w:tc>
        <w:tc>
          <w:tcPr/>
          <w:p>
            <w:pPr>
              <w:pStyle w:val="Compact"/>
            </w:pPr>
            <w:r>
              <w:t xml:space="preserve">Read all events related to CU, CUS, CUSC, CUSP, TR, SOPT, SPPA, SPPS, SPPAC, SPPSC, SPG, SPGM, SPGGP, SPGGS, SPGGSC, SPGPA, SPGPS, SPGPSC.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6"/>
    <w:bookmarkStart w:id="37" w:name="service-provider"/>
    <w:p>
      <w:pPr>
        <w:pStyle w:val="Overskrift4"/>
      </w:pPr>
      <w:r>
        <w:t xml:space="preserve">Service Provider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80"/>
        <w:gridCol w:w="6498"/>
        <w:gridCol w:w="54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EVENT-SP001</w:t>
            </w:r>
          </w:p>
        </w:tc>
        <w:tc>
          <w:tcPr/>
          <w:p>
            <w:pPr>
              <w:pStyle w:val="Compact"/>
            </w:pPr>
            <w:r>
              <w:t xml:space="preserve">Read events related to controllable units (except lookup) when they are SP on the CU.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EVENT-SP002</w:t>
            </w:r>
          </w:p>
        </w:tc>
        <w:tc>
          <w:tcPr/>
          <w:p>
            <w:pPr>
              <w:pStyle w:val="Compact"/>
            </w:pPr>
            <w:r>
              <w:t xml:space="preserve">Read events related to technical resources when they are SP on the CU.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EVENT-SP003</w:t>
            </w:r>
          </w:p>
        </w:tc>
        <w:tc>
          <w:tcPr/>
          <w:p>
            <w:pPr>
              <w:pStyle w:val="Compact"/>
            </w:pPr>
            <w:r>
              <w:t xml:space="preserve">Read events related to CUSP when they are the SP.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EVENT-SP004</w:t>
            </w:r>
          </w:p>
        </w:tc>
        <w:tc>
          <w:tcPr/>
          <w:p>
            <w:pPr>
              <w:pStyle w:val="Compact"/>
            </w:pPr>
            <w:r>
              <w:t xml:space="preserve">Read events related to SPPA concerning themselves.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EVENT-SP005</w:t>
            </w:r>
          </w:p>
        </w:tc>
        <w:tc>
          <w:tcPr/>
          <w:p>
            <w:pPr>
              <w:pStyle w:val="Compact"/>
            </w:pPr>
            <w:r>
              <w:t xml:space="preserve">Read events related to comments on SPPA concerning themselves, when they can see the comments.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EVENT-SP006</w:t>
            </w:r>
          </w:p>
        </w:tc>
        <w:tc>
          <w:tcPr/>
          <w:p>
            <w:pPr>
              <w:pStyle w:val="Compact"/>
            </w:pPr>
            <w:r>
              <w:t xml:space="preserve">Read events related to service providing groups when they own them.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EVENT-SP007</w:t>
            </w:r>
          </w:p>
        </w:tc>
        <w:tc>
          <w:tcPr/>
          <w:p>
            <w:pPr>
              <w:pStyle w:val="Compact"/>
            </w:pPr>
            <w:r>
              <w:t xml:space="preserve">Read events related to SPG memberships when they own the SPG.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EVENT-SP008</w:t>
            </w:r>
          </w:p>
        </w:tc>
        <w:tc>
          <w:tcPr/>
          <w:p>
            <w:pPr>
              <w:pStyle w:val="Compact"/>
            </w:pPr>
            <w:r>
              <w:t xml:space="preserve">Read events related to SPG grid prequalifications when they own the SPG.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EVENT-SP009</w:t>
            </w:r>
          </w:p>
        </w:tc>
        <w:tc>
          <w:tcPr/>
          <w:p>
            <w:pPr>
              <w:pStyle w:val="Compact"/>
            </w:pPr>
            <w:r>
              <w:t xml:space="preserve">Read events related to SPG product applications when they own the SPG.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EVENT-SP010</w:t>
            </w:r>
          </w:p>
        </w:tc>
        <w:tc>
          <w:tcPr/>
          <w:p>
            <w:pPr>
              <w:pStyle w:val="Compact"/>
            </w:pPr>
            <w:r>
              <w:t xml:space="preserve">Read events related to SOPT.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EVENT-SP011</w:t>
            </w:r>
          </w:p>
        </w:tc>
        <w:tc>
          <w:tcPr/>
          <w:p>
            <w:pPr>
              <w:pStyle w:val="Compact"/>
            </w:pPr>
            <w:r>
              <w:t xml:space="preserve">Read events related to SPPS when they are the SP.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EVENT-SP012</w:t>
            </w:r>
          </w:p>
        </w:tc>
        <w:tc>
          <w:tcPr/>
          <w:p>
            <w:pPr>
              <w:pStyle w:val="Compact"/>
            </w:pPr>
            <w:r>
              <w:t xml:space="preserve">Read events related to comments on SPPS concerning themselves, when they can see the comments.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EVENT-SP013</w:t>
            </w:r>
          </w:p>
        </w:tc>
        <w:tc>
          <w:tcPr/>
          <w:p>
            <w:pPr>
              <w:pStyle w:val="Compact"/>
            </w:pPr>
            <w:r>
              <w:t xml:space="preserve">Read events related to SPG grid suspensions when they own the SPG.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EVENT-SP014</w:t>
            </w:r>
          </w:p>
        </w:tc>
        <w:tc>
          <w:tcPr/>
          <w:p>
            <w:pPr>
              <w:pStyle w:val="Compact"/>
            </w:pPr>
            <w:r>
              <w:t xml:space="preserve">Read events related to comments on SPG grid suspensions, when they can see the comments.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EVENT-SP015</w:t>
            </w:r>
          </w:p>
        </w:tc>
        <w:tc>
          <w:tcPr/>
          <w:p>
            <w:pPr>
              <w:pStyle w:val="Compact"/>
            </w:pPr>
            <w:r>
              <w:t xml:space="preserve">Read events related to SPG product suspensions when they own the SPG.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EVENT-SP016</w:t>
            </w:r>
          </w:p>
        </w:tc>
        <w:tc>
          <w:tcPr/>
          <w:p>
            <w:pPr>
              <w:pStyle w:val="Compact"/>
            </w:pPr>
            <w:r>
              <w:t xml:space="preserve">Read events related to comments on SPG product suspensions, when they can see the comments.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EVENT-SP017</w:t>
            </w:r>
          </w:p>
        </w:tc>
        <w:tc>
          <w:tcPr/>
          <w:p>
            <w:pPr>
              <w:pStyle w:val="Compact"/>
            </w:pPr>
            <w:r>
              <w:t xml:space="preserve">Read events related to CU suspensions when they are SP on the CU.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EVENT-SP018</w:t>
            </w:r>
          </w:p>
        </w:tc>
        <w:tc>
          <w:tcPr/>
          <w:p>
            <w:pPr>
              <w:pStyle w:val="Compact"/>
            </w:pPr>
            <w:r>
              <w:t xml:space="preserve">Read events related to comments on CU suspensions, when they can see the comments.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7"/>
    <w:bookmarkStart w:id="38" w:name="third-party"/>
    <w:p>
      <w:pPr>
        <w:pStyle w:val="Overskrift4"/>
      </w:pPr>
      <w:r>
        <w:t xml:space="preserve">Third Party</w:t>
      </w:r>
    </w:p>
    <w:p>
      <w:pPr>
        <w:pStyle w:val="FirstParagraph"/>
      </w:pPr>
      <w:r>
        <w:t xml:space="preserve">No policies.</w:t>
      </w:r>
    </w:p>
    <w:bookmarkEnd w:id="38"/>
    <w:bookmarkEnd w:id="39"/>
    <w:bookmarkStart w:id="41" w:name="field-level-authorization"/>
    <w:p>
      <w:pPr>
        <w:pStyle w:val="Overskrift3"/>
      </w:pPr>
      <w:r>
        <w:t xml:space="preserve">Field Level Authorization</w:t>
      </w:r>
    </w:p>
    <w:p>
      <w:pPr>
        <w:pStyle w:val="FirstParagraph"/>
      </w:pPr>
      <w:r>
        <w:t xml:space="preserve">For party type abbreviations, check</w:t>
      </w:r>
      <w:r>
        <w:t xml:space="preserve"> </w:t>
      </w:r>
      <w:hyperlink r:id="rId40">
        <w:r>
          <w:rPr>
            <w:rStyle w:val="Hyperkobling"/>
          </w:rPr>
          <w:t xml:space="preserve">the auth docs</w:t>
        </w:r>
      </w:hyperlink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720"/>
        <w:gridCol w:w="720"/>
        <w:gridCol w:w="720"/>
        <w:gridCol w:w="720"/>
        <w:gridCol w:w="720"/>
        <w:gridCol w:w="720"/>
        <w:gridCol w:w="720"/>
        <w:gridCol w:w="720"/>
        <w:gridCol w:w="720"/>
        <w:gridCol w:w="720"/>
        <w:gridCol w:w="7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ANON</w:t>
            </w:r>
          </w:p>
        </w:tc>
        <w:tc>
          <w:tcPr/>
          <w:p>
            <w:pPr>
              <w:pStyle w:val="Compact"/>
            </w:pPr>
            <w:r>
              <w:t xml:space="preserve">BRP</w:t>
            </w:r>
          </w:p>
        </w:tc>
        <w:tc>
          <w:tcPr/>
          <w:p>
            <w:pPr>
              <w:pStyle w:val="Compact"/>
            </w:pPr>
            <w:r>
              <w:t xml:space="preserve">ES</w:t>
            </w:r>
          </w:p>
        </w:tc>
        <w:tc>
          <w:tcPr/>
          <w:p>
            <w:pPr>
              <w:pStyle w:val="Compact"/>
            </w:pPr>
            <w:r>
              <w:t xml:space="preserve">EU</w:t>
            </w:r>
          </w:p>
        </w:tc>
        <w:tc>
          <w:tcPr/>
          <w:p>
            <w:pPr>
              <w:pStyle w:val="Compact"/>
            </w:pPr>
            <w:r>
              <w:t xml:space="preserve">FISO</w:t>
            </w:r>
          </w:p>
        </w:tc>
        <w:tc>
          <w:tcPr/>
          <w:p>
            <w:pPr>
              <w:pStyle w:val="Compact"/>
            </w:pPr>
            <w:r>
              <w:t xml:space="preserve">MO</w:t>
            </w:r>
          </w:p>
        </w:tc>
        <w:tc>
          <w:tcPr/>
          <w:p>
            <w:pPr>
              <w:pStyle w:val="Compact"/>
            </w:pPr>
            <w:r>
              <w:t xml:space="preserve">SO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  <w:r>
              <w:t xml:space="preserve">TP</w:t>
            </w:r>
          </w:p>
        </w:tc>
        <w:tc>
          <w:tcPr/>
          <w:p>
            <w:pPr>
              <w:pStyle w:val="Compact"/>
            </w:pPr>
            <w:r>
              <w:t xml:space="preserve">ORG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specversion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time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source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subject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data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</w:tbl>
    <w:bookmarkEnd w:id="41"/>
    <w:bookmarkEnd w:id="42"/>
    <w:bookmarkEnd w:id="43"/>
    <w:sectPr w:rsidR="009442C3" w:rsidRPr="00525A1A" w:rsidSect="00D07A8F">
      <w:headerReference r:id="rId9" w:type="default"/>
      <w:pgSz w:h="11906" w:orient="landscape" w:w="16838"/>
      <w:pgMar w:bottom="1417" w:footer="708" w:gutter="0" w:header="708" w:left="1417" w:right="1417" w:top="1417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421DE9B" w14:textId="77777777" w:rsidR="001B51DB" w:rsidRDefault="001B51DB">
    <w:pPr>
      <w:pStyle w:val="Topptekst"/>
    </w:pPr>
    <w:r>
      <w:rPr>
        <w:noProof/>
      </w:rPr>
      <mc:AlternateContent>
        <mc:Choice Requires="wps">
          <w:drawing>
            <wp:anchor distT="0" distB="0" distL="114300" distR="114300" simplePos="0" relativeHeight="251658240" behindDoc="0" locked="0" layoutInCell="0" allowOverlap="1" wp14:anchorId="4E09AF06" wp14:editId="648C4FDF">
              <wp:simplePos x="0" y="0"/>
              <wp:positionH relativeFrom="page">
                <wp:posOffset>0</wp:posOffset>
              </wp:positionH>
              <wp:positionV relativeFrom="page">
                <wp:posOffset>190500</wp:posOffset>
              </wp:positionV>
              <wp:extent cx="7560310" cy="266700"/>
              <wp:effectExtent l="0" t="0" r="0" b="0"/>
              <wp:wrapNone/>
              <wp:docPr id="1" name="MSIPCM08f14bc5aae5f41b356255d9" descr="{&quot;HashCode&quot;:856120142,&quot;Height&quot;:841.0,&quot;Width&quot;:595.0,&quot;Placement&quot;:&quot;Header&quot;,&quot;Index&quot;:&quot;Primary&quot;,&quot;Section&quot;:1,&quot;Top&quot;:0.0,&quot;Left&quot;:0.0}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560310" cy="2667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6350">
                            <a:solidFill>
                              <a:prstClr val="black"/>
                            </a:solidFill>
                          </a14:hiddenLine>
                        </a:ext>
                      </a:extLst>
                    </wps:spPr>
                    <wps:txbx>
                      <w:txbxContent>
                        <w:p w14:paraId="75E0FDEB" w14:textId="77777777" w:rsidR="001B51DB" w:rsidRPr="001B51DB" w:rsidRDefault="001B51DB" w:rsidP="001B51DB">
                          <w:pPr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</w:pPr>
                          <w:r w:rsidRPr="001B51DB"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  <w:t>Statnett konfidensiell informasjon / Confidential information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54000" tIns="0" rIns="91440" bIns="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E09AF06" id="_x0000_t202" coordsize="21600,21600" o:spt="202" path="m,l,21600r21600,l21600,xe">
              <v:stroke joinstyle="miter"/>
              <v:path gradientshapeok="t" o:connecttype="rect"/>
            </v:shapetype>
            <v:shape id="MSIPCM08f14bc5aae5f41b356255d9" o:spid="_x0000_s1026" type="#_x0000_t202" alt="{&quot;HashCode&quot;:856120142,&quot;Height&quot;:841.0,&quot;Width&quot;:595.0,&quot;Placement&quot;:&quot;Header&quot;,&quot;Index&quot;:&quot;Primary&quot;,&quot;Section&quot;:1,&quot;Top&quot;:0.0,&quot;Left&quot;:0.0}" style="position:absolute;margin-left:0;margin-top:15pt;width:595.3pt;height:21pt;z-index:251658240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" o:allowincell="f" filled="f" stroked="f" strokeweight=".5pt">
              <v:textbox inset="20pt,0,,0">
                <w:txbxContent>
                  <w:p w14:paraId="75E0FDEB" w14:textId="77777777" w:rsidR="001B51DB" w:rsidRPr="001B51DB" w:rsidRDefault="001B51DB" w:rsidP="001B51DB">
                    <w:pPr>
                      <w:rPr>
                        <w:rFonts w:ascii="Calibri" w:hAnsi="Calibri" w:cs="Calibri"/>
                        <w:color w:val="ED1C24"/>
                        <w:sz w:val="20"/>
                      </w:rPr>
                    </w:pPr>
                    <w:r w:rsidRPr="001B51DB">
                      <w:rPr>
                        <w:rFonts w:ascii="Calibri" w:hAnsi="Calibri" w:cs="Calibri"/>
                        <w:color w:val="ED1C24"/>
                        <w:sz w:val="20"/>
                      </w:rPr>
                      <w:t>Statnett konfidensiell informasjon / Confidential information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176C30F4"/>
    <w:multiLevelType w:val="hybridMultilevel"/>
    <w:tmpl w:val="DDDA7AF2"/>
    <w:lvl w:ilvl="0" w:tplc="2B9A1FEC">
      <w:start w:val="1"/>
      <w:numFmt w:val="decimal"/>
      <w:lvlText w:val="1.1.%1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">
    <w:nsid w:val="20340FA3"/>
    <w:multiLevelType w:val="hybridMultilevel"/>
    <w:tmpl w:val="4B50B7FE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">
    <w:nsid w:val="216D1934"/>
    <w:multiLevelType w:val="hybridMultilevel"/>
    <w:tmpl w:val="329E5272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3">
    <w:nsid w:val="2B150D45"/>
    <w:multiLevelType w:val="hybridMultilevel"/>
    <w:tmpl w:val="952E693C"/>
    <w:lvl w:ilvl="0" w:tplc="F0A6C4F6">
      <w:start w:val="1"/>
      <w:numFmt w:val="decimal"/>
      <w:lvlText w:val="1.1.1.%1."/>
      <w:lvlJc w:val="left"/>
      <w:pPr>
        <w:ind w:hanging="360" w:left="36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4">
    <w:nsid w:val="306A1440"/>
    <w:multiLevelType w:val="hybridMultilevel"/>
    <w:tmpl w:val="66A2B2E6"/>
    <w:lvl w:ilvl="0" w:tplc="A468A5D4">
      <w:start w:val="5"/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5">
    <w:nsid w:val="36A21AB5"/>
    <w:multiLevelType w:val="hybridMultilevel"/>
    <w:tmpl w:val="1618F46E"/>
    <w:lvl w:ilvl="0" w:tplc="E7FC594C">
      <w:numFmt w:val="bullet"/>
      <w:lvlText w:val="-"/>
      <w:lvlJc w:val="left"/>
      <w:pPr>
        <w:ind w:hanging="360" w:left="1080"/>
      </w:pPr>
      <w:rPr>
        <w:rFonts w:ascii="Calibri" w:cs="Calibri" w:eastAsia="Times New Roman" w:hAnsi="Calibri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6">
    <w:nsid w:val="384F74A7"/>
    <w:multiLevelType w:val="hybridMultilevel"/>
    <w:tmpl w:val="068C678A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385429D6"/>
    <w:multiLevelType w:val="hybridMultilevel"/>
    <w:tmpl w:val="91B8C350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E7B2495"/>
    <w:multiLevelType w:val="multilevel"/>
    <w:tmpl w:val="862A723C"/>
    <w:lvl w:ilvl="0">
      <w:start w:val="1"/>
      <w:numFmt w:val="decimal"/>
      <w:pStyle w:val="Overskrift4"/>
      <w:lvlText w:val="%1"/>
      <w:lvlJc w:val="left"/>
      <w:pPr>
        <w:ind w:hanging="360" w:left="717"/>
      </w:pPr>
      <w:rPr>
        <w:rFonts w:hint="default"/>
      </w:rPr>
    </w:lvl>
    <w:lvl w:ilvl="1">
      <w:start w:val="1"/>
      <w:numFmt w:val="decimal"/>
      <w:pStyle w:val="Overskrift5"/>
      <w:lvlText w:val="%1.%2."/>
      <w:lvlJc w:val="left"/>
      <w:pPr>
        <w:ind w:hanging="284" w:left="568"/>
      </w:pPr>
      <w:rPr>
        <w:rFonts w:hint="default"/>
      </w:rPr>
    </w:lvl>
    <w:lvl w:ilvl="2">
      <w:start w:val="1"/>
      <w:numFmt w:val="decimal"/>
      <w:pStyle w:val="Overskrift6"/>
      <w:lvlText w:val="%1.%2.%3."/>
      <w:lvlJc w:val="left"/>
      <w:pPr>
        <w:ind w:hanging="284" w:left="852"/>
      </w:pPr>
      <w:rPr>
        <w:rFonts w:hint="default"/>
      </w:rPr>
    </w:lvl>
    <w:lvl w:ilvl="3">
      <w:start w:val="1"/>
      <w:numFmt w:val="decimal"/>
      <w:pStyle w:val="Overskrift4a"/>
      <w:lvlText w:val="%1.%2.%3.%4."/>
      <w:lvlJc w:val="left"/>
      <w:pPr>
        <w:ind w:hanging="284" w:left="1136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284" w:left="142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284" w:left="1704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284" w:left="1988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284" w:left="2272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284" w:left="2556"/>
      </w:pPr>
      <w:rPr>
        <w:rFonts w:hint="default"/>
      </w:rPr>
    </w:lvl>
  </w:abstractNum>
  <w:abstractNum w15:restartNumberingAfterBreak="0" w:abstractNumId="9">
    <w:nsid w:val="3F415E83"/>
    <w:multiLevelType w:val="hybridMultilevel"/>
    <w:tmpl w:val="EDFEE6C0"/>
    <w:lvl w:ilvl="0" w:tplc="5E36B9B6">
      <w:start w:val="1"/>
      <w:numFmt w:val="decimal"/>
      <w:lvlText w:val="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0">
    <w:nsid w:val="3FD753AF"/>
    <w:multiLevelType w:val="multilevel"/>
    <w:tmpl w:val="04140025"/>
    <w:lvl w:ilvl="0">
      <w:start w:val="1"/>
      <w:numFmt w:val="decimal"/>
      <w:lvlText w:val="%1"/>
      <w:lvlJc w:val="left"/>
      <w:pPr>
        <w:ind w:hanging="432" w:left="432"/>
      </w:pPr>
    </w:lvl>
    <w:lvl w:ilvl="1">
      <w:start w:val="1"/>
      <w:numFmt w:val="decimal"/>
      <w:lvlText w:val="%1.%2"/>
      <w:lvlJc w:val="left"/>
      <w:pPr>
        <w:ind w:hanging="576" w:left="576"/>
      </w:pPr>
    </w:lvl>
    <w:lvl w:ilvl="2">
      <w:start w:val="1"/>
      <w:numFmt w:val="decimal"/>
      <w:lvlText w:val="%1.%2.%3"/>
      <w:lvlJc w:val="left"/>
      <w:pPr>
        <w:ind w:hanging="720" w:left="720"/>
      </w:pPr>
    </w:lvl>
    <w:lvl w:ilvl="3">
      <w:start w:val="1"/>
      <w:numFmt w:val="decimal"/>
      <w:lvlText w:val="%1.%2.%3.%4"/>
      <w:lvlJc w:val="left"/>
      <w:pPr>
        <w:ind w:hanging="864" w:left="864"/>
      </w:pPr>
    </w:lvl>
    <w:lvl w:ilvl="4">
      <w:start w:val="1"/>
      <w:numFmt w:val="decimal"/>
      <w:lvlText w:val="%1.%2.%3.%4.%5"/>
      <w:lvlJc w:val="left"/>
      <w:pPr>
        <w:ind w:hanging="1008" w:left="1008"/>
      </w:pPr>
    </w:lvl>
    <w:lvl w:ilvl="5">
      <w:start w:val="1"/>
      <w:numFmt w:val="decimal"/>
      <w:lvlText w:val="%1.%2.%3.%4.%5.%6"/>
      <w:lvlJc w:val="left"/>
      <w:pPr>
        <w:ind w:hanging="1152" w:left="1152"/>
      </w:pPr>
    </w:lvl>
    <w:lvl w:ilvl="6">
      <w:start w:val="1"/>
      <w:numFmt w:val="decimal"/>
      <w:lvlText w:val="%1.%2.%3.%4.%5.%6.%7"/>
      <w:lvlJc w:val="left"/>
      <w:pPr>
        <w:ind w:hanging="1296" w:left="1296"/>
      </w:pPr>
    </w:lvl>
    <w:lvl w:ilvl="7">
      <w:start w:val="1"/>
      <w:numFmt w:val="decimal"/>
      <w:lvlText w:val="%1.%2.%3.%4.%5.%6.%7.%8"/>
      <w:lvlJc w:val="left"/>
      <w:pPr>
        <w:ind w:hanging="1440" w:left="1440"/>
      </w:pPr>
    </w:lvl>
    <w:lvl w:ilvl="8">
      <w:start w:val="1"/>
      <w:numFmt w:val="decimal"/>
      <w:lvlText w:val="%1.%2.%3.%4.%5.%6.%7.%8.%9"/>
      <w:lvlJc w:val="left"/>
      <w:pPr>
        <w:ind w:hanging="1584" w:left="1584"/>
      </w:pPr>
    </w:lvl>
  </w:abstractNum>
  <w:abstractNum w15:restartNumberingAfterBreak="0" w:abstractNumId="11">
    <w:nsid w:val="40EE26B1"/>
    <w:multiLevelType w:val="hybridMultilevel"/>
    <w:tmpl w:val="5AD400E2"/>
    <w:lvl w:ilvl="0" w:tplc="2130930A">
      <w:numFmt w:val="bullet"/>
      <w:lvlText w:val=""/>
      <w:lvlJc w:val="left"/>
      <w:pPr>
        <w:ind w:hanging="360" w:left="720"/>
      </w:pPr>
      <w:rPr>
        <w:rFonts w:ascii="Symbol" w:cs="Times New Roman" w:eastAsia="Calibri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43722E63"/>
    <w:multiLevelType w:val="hybridMultilevel"/>
    <w:tmpl w:val="BFFCBD54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3AB328B"/>
    <w:multiLevelType w:val="multilevel"/>
    <w:tmpl w:val="9970CC5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4">
    <w:nsid w:val="48702925"/>
    <w:multiLevelType w:val="hybridMultilevel"/>
    <w:tmpl w:val="4E769380"/>
    <w:lvl w:ilvl="0" w:tplc="CE9E0CB4">
      <w:start w:val="1"/>
      <w:numFmt w:val="decimal"/>
      <w:lvlText w:val="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5">
    <w:nsid w:val="4BA550A1"/>
    <w:multiLevelType w:val="hybridMultilevel"/>
    <w:tmpl w:val="ECD2C532"/>
    <w:lvl w:ilvl="0" w:tplc="5C2683EC">
      <w:start w:val="1"/>
      <w:numFmt w:val="decimal"/>
      <w:pStyle w:val="Overskrift7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6">
    <w:nsid w:val="4E943A02"/>
    <w:multiLevelType w:val="hybridMultilevel"/>
    <w:tmpl w:val="311EC140"/>
    <w:lvl w:ilvl="0" w:tplc="62CA4078">
      <w:start w:val="1"/>
      <w:numFmt w:val="decimal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7">
    <w:nsid w:val="589B6CB7"/>
    <w:multiLevelType w:val="multilevel"/>
    <w:tmpl w:val="13224B74"/>
    <w:lvl w:ilvl="0">
      <w:start w:val="1"/>
      <w:numFmt w:val="decimal"/>
      <w:pStyle w:val="Nummerering"/>
      <w:lvlText w:val="%1."/>
      <w:lvlJc w:val="left"/>
      <w:pPr>
        <w:ind w:hanging="360" w:left="360"/>
      </w:pPr>
      <w:rPr>
        <w:rFonts w:hint="default"/>
        <w:sz w:val="18"/>
      </w:rPr>
    </w:lvl>
    <w:lvl w:ilvl="1">
      <w:start w:val="1"/>
      <w:numFmt w:val="decimal"/>
      <w:lvlText w:val="%1.%2."/>
      <w:lvlJc w:val="left"/>
      <w:pPr>
        <w:ind w:hanging="432" w:left="79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504" w:left="122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648" w:left="172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792" w:left="223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936" w:left="27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1080" w:left="32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1224" w:left="374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1440" w:left="4320"/>
      </w:pPr>
      <w:rPr>
        <w:rFonts w:hint="default"/>
      </w:rPr>
    </w:lvl>
  </w:abstractNum>
  <w:abstractNum w15:restartNumberingAfterBreak="0" w:abstractNumId="18">
    <w:nsid w:val="60DB0C8F"/>
    <w:multiLevelType w:val="multilevel"/>
    <w:tmpl w:val="D58ABEBC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9">
    <w:nsid w:val="70F81E7B"/>
    <w:multiLevelType w:val="hybridMultilevel"/>
    <w:tmpl w:val="59F23654"/>
    <w:lvl w:ilvl="0" w:tplc="D8641D32"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0">
    <w:nsid w:val="71146152"/>
    <w:multiLevelType w:val="multilevel"/>
    <w:tmpl w:val="8FE4BCAA"/>
    <w:lvl w:ilvl="0">
      <w:start w:val="1"/>
      <w:numFmt w:val="decimal"/>
      <w:lvlText w:val="%1."/>
      <w:lvlJc w:val="left"/>
      <w:pPr>
        <w:ind w:hanging="357" w:left="357"/>
      </w:pPr>
      <w:rPr>
        <w:rFonts w:hint="default"/>
        <w:b w:val="0"/>
        <w:i w:val="0"/>
        <w:sz w:val="32"/>
      </w:rPr>
    </w:lvl>
    <w:lvl w:ilvl="1">
      <w:start w:val="1"/>
      <w:numFmt w:val="decimal"/>
      <w:lvlText w:val="%1.%2."/>
      <w:lvlJc w:val="left"/>
      <w:pPr>
        <w:ind w:hanging="357" w:left="357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357" w:left="357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357" w:left="357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357" w:left="357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357" w:left="357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357" w:left="357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357" w:left="357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357" w:left="357"/>
      </w:pPr>
      <w:rPr>
        <w:rFonts w:hint="default"/>
      </w:rPr>
    </w:lvl>
  </w:abstractNum>
  <w:abstractNum w15:restartNumberingAfterBreak="0" w:abstractNumId="21">
    <w:nsid w:val="789F4E28"/>
    <w:multiLevelType w:val="hybridMultilevel"/>
    <w:tmpl w:val="26B4447A"/>
    <w:lvl w:ilvl="0" w:tplc="04140001">
      <w:start w:val="1"/>
      <w:numFmt w:val="bullet"/>
      <w:lvlText w:val=""/>
      <w:lvlJc w:val="left"/>
      <w:pPr>
        <w:ind w:hanging="360" w:left="108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22">
    <w:nsid w:val="7F4428FD"/>
    <w:multiLevelType w:val="hybridMultilevel"/>
    <w:tmpl w:val="5F3C11FA"/>
    <w:lvl w:ilvl="0" w:tplc="070EE914">
      <w:start w:val="1"/>
      <w:numFmt w:val="bullet"/>
      <w:pStyle w:val="Punktmerking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812406318" w:numId="1">
    <w:abstractNumId w:val="22"/>
  </w:num>
  <w:num w16cid:durableId="1767800706" w:numId="2">
    <w:abstractNumId w:val="17"/>
  </w:num>
  <w:num w16cid:durableId="1262761918" w:numId="3">
    <w:abstractNumId w:val="22"/>
  </w:num>
  <w:num w16cid:durableId="2054845624" w:numId="4">
    <w:abstractNumId w:val="17"/>
  </w:num>
  <w:num w16cid:durableId="1407872750" w:numId="5">
    <w:abstractNumId w:val="22"/>
  </w:num>
  <w:num w16cid:durableId="813715544" w:numId="6">
    <w:abstractNumId w:val="17"/>
  </w:num>
  <w:num w16cid:durableId="1617132127" w:numId="7">
    <w:abstractNumId w:val="22"/>
  </w:num>
  <w:num w16cid:durableId="1535732876" w:numId="8">
    <w:abstractNumId w:val="17"/>
  </w:num>
  <w:num w16cid:durableId="1106388687" w:numId="9">
    <w:abstractNumId w:val="20"/>
  </w:num>
  <w:num w16cid:durableId="170264902" w:numId="10">
    <w:abstractNumId w:val="20"/>
  </w:num>
  <w:num w16cid:durableId="1558277903" w:numId="11">
    <w:abstractNumId w:val="20"/>
  </w:num>
  <w:num w16cid:durableId="1462069272" w:numId="12">
    <w:abstractNumId w:val="20"/>
  </w:num>
  <w:num w16cid:durableId="886767854" w:numId="13">
    <w:abstractNumId w:val="22"/>
  </w:num>
  <w:num w16cid:durableId="1674336487" w:numId="14">
    <w:abstractNumId w:val="22"/>
  </w:num>
  <w:num w16cid:durableId="1389844621" w:numId="15">
    <w:abstractNumId w:val="17"/>
  </w:num>
  <w:num w16cid:durableId="1328561174" w:numId="16">
    <w:abstractNumId w:val="22"/>
  </w:num>
  <w:num w16cid:durableId="1137455183" w:numId="17">
    <w:abstractNumId w:val="17"/>
  </w:num>
  <w:num w16cid:durableId="138032966" w:numId="18">
    <w:abstractNumId w:val="9"/>
  </w:num>
  <w:num w16cid:durableId="1851724982" w:numId="19">
    <w:abstractNumId w:val="0"/>
  </w:num>
  <w:num w16cid:durableId="621617350" w:numId="20">
    <w:abstractNumId w:val="14"/>
  </w:num>
  <w:num w16cid:durableId="1503471776" w:numId="21">
    <w:abstractNumId w:val="14"/>
  </w:num>
  <w:num w16cid:durableId="887569384" w:numId="22">
    <w:abstractNumId w:val="8"/>
  </w:num>
  <w:num w16cid:durableId="828136392" w:numId="23">
    <w:abstractNumId w:val="10"/>
  </w:num>
  <w:num w16cid:durableId="939141084" w:numId="24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16cid:durableId="990524240" w:numId="25">
    <w:abstractNumId w:val="3"/>
  </w:num>
  <w:num w16cid:durableId="973144612" w:numId="26">
    <w:abstractNumId w:val="16"/>
  </w:num>
  <w:num w16cid:durableId="1364402948" w:numId="27">
    <w:abstractNumId w:val="15"/>
  </w:num>
  <w:num w16cid:durableId="283387805" w:numId="28">
    <w:abstractNumId w:val="7"/>
  </w:num>
  <w:num w16cid:durableId="1575437366" w:numId="29">
    <w:abstractNumId w:val="11"/>
  </w:num>
  <w:num w16cid:durableId="202713708" w:numId="30">
    <w:abstractNumId w:val="4"/>
  </w:num>
  <w:num w16cid:durableId="1312252348" w:numId="31">
    <w:abstractNumId w:val="18"/>
  </w:num>
  <w:num w16cid:durableId="1449668014" w:numId="32">
    <w:abstractNumId w:val="1"/>
  </w:num>
  <w:num w16cid:durableId="977685223" w:numId="33">
    <w:abstractNumId w:val="2"/>
  </w:num>
  <w:num w16cid:durableId="1609921435" w:numId="34">
    <w:abstractNumId w:val="6"/>
  </w:num>
  <w:num w16cid:durableId="848560931" w:numId="35">
    <w:abstractNumId w:val="12"/>
  </w:num>
  <w:num w16cid:durableId="577902778" w:numId="36">
    <w:abstractNumId w:val="5"/>
  </w:num>
  <w:num w16cid:durableId="1922251951" w:numId="37">
    <w:abstractNumId w:val="19"/>
  </w:num>
  <w:num w16cid:durableId="935553703" w:numId="38">
    <w:abstractNumId w:val="13"/>
  </w:num>
  <w:num w16cid:durableId="724372724" w:numId="39">
    <w:abstractNumId w:val="21"/>
  </w:num>
  <w:num w16cid:durableId="1595089895" w:numId="40">
    <w:abstractNumId w:val="8"/>
  </w:num>
  <w:num w16cid:durableId="1108310296" w:numId="41">
    <w:abstractNumId w:val="8"/>
  </w:num>
  <w:num w16cid:durableId="2012903724" w:numId="42">
    <w:abstractNumId w:val="8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removePersonalInformation/>
  <w:removeDateAndTime/>
  <w:embedSystemFonts/>
  <w:proofState w:grammar="clean"/>
  <w:attachedTemplate r:id="rId1"/>
  <w:stylePaneFormatFilter w:allStyles="0" w:alternateStyleNames="0" w:clearFormatting="1" w:customStyles="0" w:directFormattingOnNumbering="0" w:directFormattingOnParagraphs="1" w:directFormattingOnRuns="0" w:directFormattingOnTables="0" w:headingStyles="1" w:latentStyles="1" w:numberingStyles="0" w:stylesInUse="0" w:tableStyles="0" w:top3HeadingStyles="0" w:val="5224" w:visibleStyles="1"/>
  <w:doNotTrackMoves/>
  <w:doNotTrackFormatting/>
  <w:defaultTabStop w:val="708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25A1A"/>
    <w:rsid w:val="0000476C"/>
    <w:rsid w:val="00017260"/>
    <w:rsid w:val="00022349"/>
    <w:rsid w:val="0005097C"/>
    <w:rsid w:val="00062081"/>
    <w:rsid w:val="00074D72"/>
    <w:rsid w:val="000B7391"/>
    <w:rsid w:val="000B753C"/>
    <w:rsid w:val="000E404C"/>
    <w:rsid w:val="000F28D3"/>
    <w:rsid w:val="00100AB8"/>
    <w:rsid w:val="00113782"/>
    <w:rsid w:val="00140CE8"/>
    <w:rsid w:val="001449AE"/>
    <w:rsid w:val="001646C6"/>
    <w:rsid w:val="00176800"/>
    <w:rsid w:val="00180CE1"/>
    <w:rsid w:val="001B51DB"/>
    <w:rsid w:val="00216AAF"/>
    <w:rsid w:val="00223124"/>
    <w:rsid w:val="00247EDB"/>
    <w:rsid w:val="002605A8"/>
    <w:rsid w:val="00285FA7"/>
    <w:rsid w:val="00287E3A"/>
    <w:rsid w:val="002E445F"/>
    <w:rsid w:val="002E55E8"/>
    <w:rsid w:val="003143F0"/>
    <w:rsid w:val="00336E78"/>
    <w:rsid w:val="00340959"/>
    <w:rsid w:val="00360197"/>
    <w:rsid w:val="00360B9A"/>
    <w:rsid w:val="00373A5C"/>
    <w:rsid w:val="003A5D9B"/>
    <w:rsid w:val="003A5F32"/>
    <w:rsid w:val="003C1998"/>
    <w:rsid w:val="003D7E43"/>
    <w:rsid w:val="00411FB1"/>
    <w:rsid w:val="00413469"/>
    <w:rsid w:val="0043378D"/>
    <w:rsid w:val="00434AA2"/>
    <w:rsid w:val="00446F6C"/>
    <w:rsid w:val="0044705F"/>
    <w:rsid w:val="00470628"/>
    <w:rsid w:val="00503FA5"/>
    <w:rsid w:val="005046FA"/>
    <w:rsid w:val="00517F46"/>
    <w:rsid w:val="00525A1A"/>
    <w:rsid w:val="00563A90"/>
    <w:rsid w:val="005A230F"/>
    <w:rsid w:val="005C07E8"/>
    <w:rsid w:val="005D4F11"/>
    <w:rsid w:val="00612FC5"/>
    <w:rsid w:val="00626C11"/>
    <w:rsid w:val="00637FC9"/>
    <w:rsid w:val="00687F76"/>
    <w:rsid w:val="0069035B"/>
    <w:rsid w:val="00695558"/>
    <w:rsid w:val="006B5E95"/>
    <w:rsid w:val="006E16C4"/>
    <w:rsid w:val="006E2C2C"/>
    <w:rsid w:val="0075361F"/>
    <w:rsid w:val="00787C3F"/>
    <w:rsid w:val="007A3859"/>
    <w:rsid w:val="007A5BB4"/>
    <w:rsid w:val="007B0962"/>
    <w:rsid w:val="007C4D15"/>
    <w:rsid w:val="007D6F47"/>
    <w:rsid w:val="007E01C7"/>
    <w:rsid w:val="007E29E9"/>
    <w:rsid w:val="007E3DDE"/>
    <w:rsid w:val="007F1749"/>
    <w:rsid w:val="00807747"/>
    <w:rsid w:val="008131FF"/>
    <w:rsid w:val="0085557C"/>
    <w:rsid w:val="008609C2"/>
    <w:rsid w:val="00867010"/>
    <w:rsid w:val="008776C1"/>
    <w:rsid w:val="0089252A"/>
    <w:rsid w:val="008A7BA4"/>
    <w:rsid w:val="008C1E07"/>
    <w:rsid w:val="008E38E3"/>
    <w:rsid w:val="00903695"/>
    <w:rsid w:val="00914E63"/>
    <w:rsid w:val="00933570"/>
    <w:rsid w:val="00934A3D"/>
    <w:rsid w:val="00935D3F"/>
    <w:rsid w:val="00940056"/>
    <w:rsid w:val="009442C3"/>
    <w:rsid w:val="00960825"/>
    <w:rsid w:val="009A6C16"/>
    <w:rsid w:val="00A1546F"/>
    <w:rsid w:val="00A32D70"/>
    <w:rsid w:val="00A47145"/>
    <w:rsid w:val="00A523C6"/>
    <w:rsid w:val="00A81E64"/>
    <w:rsid w:val="00A94E88"/>
    <w:rsid w:val="00A978EC"/>
    <w:rsid w:val="00AB1CB2"/>
    <w:rsid w:val="00AC1AA5"/>
    <w:rsid w:val="00AD3548"/>
    <w:rsid w:val="00AF59BE"/>
    <w:rsid w:val="00B10444"/>
    <w:rsid w:val="00B26F12"/>
    <w:rsid w:val="00B33D6A"/>
    <w:rsid w:val="00B44AAF"/>
    <w:rsid w:val="00B90B10"/>
    <w:rsid w:val="00BA06F3"/>
    <w:rsid w:val="00BA2E24"/>
    <w:rsid w:val="00BA5106"/>
    <w:rsid w:val="00C00887"/>
    <w:rsid w:val="00C13167"/>
    <w:rsid w:val="00C14054"/>
    <w:rsid w:val="00C571AB"/>
    <w:rsid w:val="00C57E52"/>
    <w:rsid w:val="00C656FF"/>
    <w:rsid w:val="00C86520"/>
    <w:rsid w:val="00C94FAB"/>
    <w:rsid w:val="00D07A8F"/>
    <w:rsid w:val="00D2120E"/>
    <w:rsid w:val="00D263CE"/>
    <w:rsid w:val="00D30BE7"/>
    <w:rsid w:val="00D566FF"/>
    <w:rsid w:val="00D56894"/>
    <w:rsid w:val="00DD0CE8"/>
    <w:rsid w:val="00E12D34"/>
    <w:rsid w:val="00E17B64"/>
    <w:rsid w:val="00E2602A"/>
    <w:rsid w:val="00E53F13"/>
    <w:rsid w:val="00E715AB"/>
    <w:rsid w:val="00E77006"/>
    <w:rsid w:val="00EA13EF"/>
    <w:rsid w:val="00EB1634"/>
    <w:rsid w:val="00EB6C1F"/>
    <w:rsid w:val="00ED4E0C"/>
    <w:rsid w:val="00EE0426"/>
    <w:rsid w:val="00EF632E"/>
    <w:rsid w:val="00F10E0A"/>
    <w:rsid w:val="00F2031F"/>
    <w:rsid w:val="00F311F0"/>
    <w:rsid w:val="00F402E0"/>
    <w:rsid w:val="00F5403B"/>
    <w:rsid w:val="00F82BD7"/>
    <w:rsid w:val="00FC0F10"/>
    <w:rsid w:val="00FD2092"/>
    <w:rsid w:val="00FE600F"/>
  </w:rsids>
  <w:themeFontLang w:val="nb-NO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/>
    <o:shapelayout v:ext="edit">
      <o:idmap data="2" v:ext="edit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cs="Times New Roman" w:eastAsia="Calibri" w:hAnsi="Arial"/>
        <w:lang w:bidi="ar-SA" w:eastAsia="nb-NO" w:val="nb-NO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1"/>
    <w:lsdException w:name="heading 2" w:qFormat="1" w:semiHidden="1" w:uiPriority="2" w:unhideWhenUsed="1"/>
    <w:lsdException w:name="heading 3" w:qFormat="1" w:semiHidden="1" w:uiPriority="3" w:unhideWhenUsed="1"/>
    <w:lsdException w:name="heading 4" w:semiHidden="1" w:uiPriority="4" w:unhideWhenUsed="1"/>
    <w:lsdException w:name="heading 5" w:semiHidden="1" w:uiPriority="4" w:unhideWhenUsed="1"/>
    <w:lsdException w:name="heading 6" w:semiHidden="1" w:uiPriority="4" w:unhideWhenUsed="1"/>
    <w:lsdException w:name="heading 7" w:qFormat="1" w:uiPriority="4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6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7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0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8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9442C3"/>
    <w:pPr>
      <w:suppressAutoHyphens/>
    </w:pPr>
    <w:rPr>
      <w:sz w:val="22"/>
      <w:szCs w:val="24"/>
      <w:lang w:eastAsia="en-US"/>
    </w:rPr>
  </w:style>
  <w:style w:styleId="Overskrift1" w:type="paragraph">
    <w:name w:val="heading 1"/>
    <w:basedOn w:val="Overskrift4"/>
    <w:next w:val="Normal"/>
    <w:link w:val="Overskrift1Tegn"/>
    <w:uiPriority w:val="1"/>
    <w:qFormat/>
    <w:rsid w:val="007D6F47"/>
    <w:pPr>
      <w:ind w:hanging="431" w:left="431"/>
      <w:outlineLvl w:val="0"/>
    </w:pPr>
  </w:style>
  <w:style w:styleId="Overskrift2" w:type="paragraph">
    <w:name w:val="heading 2"/>
    <w:basedOn w:val="Overskrift5"/>
    <w:next w:val="Normal"/>
    <w:link w:val="Overskrift2Tegn"/>
    <w:uiPriority w:val="2"/>
    <w:qFormat/>
    <w:rsid w:val="007D6F47"/>
    <w:pPr>
      <w:ind w:hanging="284" w:left="568"/>
      <w:outlineLvl w:val="1"/>
    </w:pPr>
  </w:style>
  <w:style w:styleId="Overskrift3" w:type="paragraph">
    <w:name w:val="heading 3"/>
    <w:basedOn w:val="Overskrift6"/>
    <w:next w:val="Normal"/>
    <w:link w:val="Overskrift3Tegn"/>
    <w:uiPriority w:val="3"/>
    <w:qFormat/>
    <w:rsid w:val="007D6F47"/>
    <w:pPr>
      <w:outlineLvl w:val="2"/>
    </w:pPr>
  </w:style>
  <w:style w:styleId="Overskrift4" w:type="paragraph">
    <w:name w:val="heading 4"/>
    <w:aliases w:val="Overskrift 4 - med nummerering"/>
    <w:basedOn w:val="Normal"/>
    <w:next w:val="Normal"/>
    <w:link w:val="Overskrift4Tegn"/>
    <w:uiPriority w:val="4"/>
    <w:rsid w:val="005D4F11"/>
    <w:pPr>
      <w:keepNext/>
      <w:numPr>
        <w:numId w:val="22"/>
      </w:numPr>
      <w:spacing w:after="60" w:before="240"/>
      <w:ind w:hanging="720" w:left="720"/>
      <w:outlineLvl w:val="3"/>
    </w:pPr>
    <w:rPr>
      <w:rFonts w:cstheme="minorBidi" w:eastAsiaTheme="minorEastAsia"/>
      <w:b/>
      <w:bCs/>
      <w:caps/>
      <w:sz w:val="24"/>
      <w:szCs w:val="28"/>
    </w:rPr>
  </w:style>
  <w:style w:styleId="Overskrift5" w:type="paragraph">
    <w:name w:val="heading 5"/>
    <w:aliases w:val="Overskrift 5 - med nummerering"/>
    <w:basedOn w:val="Normal"/>
    <w:next w:val="Normal"/>
    <w:link w:val="Overskrift5Tegn"/>
    <w:uiPriority w:val="4"/>
    <w:rsid w:val="002E55E8"/>
    <w:pPr>
      <w:numPr>
        <w:ilvl w:val="1"/>
        <w:numId w:val="22"/>
      </w:numPr>
      <w:spacing w:after="60" w:before="240"/>
      <w:ind w:hanging="357" w:left="357"/>
      <w:outlineLvl w:val="4"/>
    </w:pPr>
    <w:rPr>
      <w:rFonts w:cstheme="minorBidi" w:eastAsiaTheme="minorEastAsia"/>
      <w:b/>
      <w:bCs/>
      <w:iCs/>
      <w:sz w:val="24"/>
      <w:szCs w:val="26"/>
    </w:rPr>
  </w:style>
  <w:style w:styleId="Overskrift6" w:type="paragraph">
    <w:name w:val="heading 6"/>
    <w:basedOn w:val="Normal"/>
    <w:next w:val="Normal"/>
    <w:link w:val="Overskrift6Tegn"/>
    <w:uiPriority w:val="4"/>
    <w:rsid w:val="007D6F47"/>
    <w:pPr>
      <w:keepNext/>
      <w:keepLines/>
      <w:numPr>
        <w:ilvl w:val="2"/>
        <w:numId w:val="22"/>
      </w:numPr>
      <w:spacing w:after="60" w:before="240"/>
      <w:ind w:hanging="720" w:left="720"/>
      <w:outlineLvl w:val="5"/>
    </w:pPr>
    <w:rPr>
      <w:rFonts w:cstheme="majorBidi" w:eastAsiaTheme="majorEastAsia"/>
      <w:b/>
      <w:iCs/>
    </w:rPr>
  </w:style>
  <w:style w:styleId="Overskrift7" w:type="paragraph">
    <w:name w:val="heading 7"/>
    <w:next w:val="Normal"/>
    <w:link w:val="Overskrift7Tegn"/>
    <w:uiPriority w:val="4"/>
    <w:semiHidden/>
    <w:qFormat/>
    <w:rsid w:val="00C94FAB"/>
    <w:pPr>
      <w:numPr>
        <w:numId w:val="27"/>
      </w:numPr>
      <w:spacing w:before="240"/>
      <w:ind w:hanging="1361" w:left="1361"/>
      <w:outlineLvl w:val="6"/>
    </w:pPr>
    <w:rPr>
      <w:b/>
      <w:i/>
      <w:iCs/>
      <w:sz w:val="24"/>
      <w:szCs w:val="24"/>
      <w:lang w:eastAsia="en-US"/>
    </w:rPr>
  </w:style>
  <w:style w:default="1" w:styleId="Standardskriftforavsnitt" w:type="character">
    <w:name w:val="Default Paragraph Font"/>
    <w:uiPriority w:val="1"/>
    <w:semiHidden/>
    <w:unhideWhenUsed/>
  </w:style>
  <w:style w:default="1" w:styleId="Vanligtabel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Ingenliste" w:type="numbering">
    <w:name w:val="No List"/>
    <w:uiPriority w:val="99"/>
    <w:semiHidden/>
    <w:unhideWhenUsed/>
  </w:style>
  <w:style w:customStyle="1" w:styleId="Overskrift1Tegn" w:type="character">
    <w:name w:val="Overskrift 1 Tegn"/>
    <w:basedOn w:val="Standardskriftforavsnitt"/>
    <w:link w:val="Overskrift1"/>
    <w:uiPriority w:val="1"/>
    <w:rsid w:val="007D6F47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2Tegn" w:type="character">
    <w:name w:val="Overskrift 2 Tegn"/>
    <w:basedOn w:val="Standardskriftforavsnitt"/>
    <w:link w:val="Overskrift2"/>
    <w:uiPriority w:val="2"/>
    <w:rsid w:val="007D6F47"/>
    <w:rPr>
      <w:rFonts w:cstheme="minorBidi" w:eastAsiaTheme="minorEastAsia"/>
      <w:b/>
      <w:bCs/>
      <w:iCs/>
      <w:sz w:val="24"/>
      <w:szCs w:val="26"/>
      <w:lang w:eastAsia="en-US"/>
    </w:rPr>
  </w:style>
  <w:style w:styleId="Topptekst" w:type="paragraph">
    <w:name w:val="header"/>
    <w:basedOn w:val="Normal"/>
    <w:link w:val="Topp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TopptekstTegn" w:type="character">
    <w:name w:val="Topptekst Tegn"/>
    <w:basedOn w:val="Standardskriftforavsnitt"/>
    <w:link w:val="Topptekst"/>
    <w:uiPriority w:val="99"/>
    <w:rsid w:val="007C4D15"/>
    <w:rPr>
      <w:rFonts w:ascii="Arial" w:eastAsia="Calibri" w:hAnsi="Arial"/>
      <w:sz w:val="20"/>
      <w:szCs w:val="24"/>
    </w:rPr>
  </w:style>
  <w:style w:styleId="Bunntekst" w:type="paragraph">
    <w:name w:val="footer"/>
    <w:basedOn w:val="Normal"/>
    <w:link w:val="Bunn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BunntekstTegn" w:type="character">
    <w:name w:val="Bunntekst Tegn"/>
    <w:basedOn w:val="Standardskriftforavsnitt"/>
    <w:link w:val="Bunntekst"/>
    <w:uiPriority w:val="99"/>
    <w:rsid w:val="0005097C"/>
    <w:rPr>
      <w:szCs w:val="24"/>
      <w:lang w:eastAsia="en-US"/>
    </w:rPr>
  </w:style>
  <w:style w:styleId="Bobletekst" w:type="paragraph">
    <w:name w:val="Balloon Text"/>
    <w:basedOn w:val="Normal"/>
    <w:link w:val="BobletekstTegn"/>
    <w:uiPriority w:val="99"/>
    <w:semiHidden/>
    <w:unhideWhenUsed/>
    <w:rsid w:val="007C4D15"/>
    <w:rPr>
      <w:rFonts w:ascii="Tahoma" w:cs="Tahoma" w:hAnsi="Tahoma"/>
      <w:sz w:val="16"/>
      <w:szCs w:val="16"/>
    </w:rPr>
  </w:style>
  <w:style w:customStyle="1" w:styleId="BobletekstTegn" w:type="character">
    <w:name w:val="Bobletekst Tegn"/>
    <w:basedOn w:val="Standardskriftforavsnitt"/>
    <w:link w:val="Bobletekst"/>
    <w:uiPriority w:val="99"/>
    <w:semiHidden/>
    <w:rsid w:val="007C4D15"/>
    <w:rPr>
      <w:rFonts w:ascii="Tahoma" w:cs="Tahoma" w:eastAsia="Calibri" w:hAnsi="Tahoma"/>
      <w:sz w:val="16"/>
      <w:szCs w:val="16"/>
    </w:rPr>
  </w:style>
  <w:style w:customStyle="1" w:styleId="Overskrift3Tegn" w:type="character">
    <w:name w:val="Overskrift 3 Tegn"/>
    <w:basedOn w:val="Standardskriftforavsnitt"/>
    <w:link w:val="Overskrift3"/>
    <w:uiPriority w:val="3"/>
    <w:rsid w:val="007D6F47"/>
    <w:rPr>
      <w:rFonts w:cstheme="majorBidi" w:eastAsiaTheme="majorEastAsia"/>
      <w:b/>
      <w:iCs/>
      <w:sz w:val="22"/>
      <w:szCs w:val="24"/>
      <w:lang w:eastAsia="en-US"/>
    </w:rPr>
  </w:style>
  <w:style w:customStyle="1" w:styleId="Overskrift4Tegn" w:type="character">
    <w:name w:val="Overskrift 4 Tegn"/>
    <w:aliases w:val="Overskrift 4 - med nummerering Tegn"/>
    <w:basedOn w:val="Standardskriftforavsnitt"/>
    <w:link w:val="Overskrift4"/>
    <w:uiPriority w:val="4"/>
    <w:rsid w:val="005D4F11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5Tegn" w:type="character">
    <w:name w:val="Overskrift 5 Tegn"/>
    <w:aliases w:val="Overskrift 5 - med nummerering Tegn"/>
    <w:basedOn w:val="Standardskriftforavsnitt"/>
    <w:link w:val="Overskrift5"/>
    <w:uiPriority w:val="4"/>
    <w:rsid w:val="002E55E8"/>
    <w:rPr>
      <w:rFonts w:cstheme="minorBidi" w:eastAsiaTheme="minorEastAsia"/>
      <w:b/>
      <w:bCs/>
      <w:iCs/>
      <w:sz w:val="24"/>
      <w:szCs w:val="26"/>
      <w:lang w:eastAsia="en-US"/>
    </w:rPr>
  </w:style>
  <w:style w:customStyle="1" w:styleId="Overskrift6Tegn" w:type="character">
    <w:name w:val="Overskrift 6 Tegn"/>
    <w:basedOn w:val="Standardskriftforavsnitt"/>
    <w:link w:val="Overskrift6"/>
    <w:uiPriority w:val="4"/>
    <w:rsid w:val="007D6F47"/>
    <w:rPr>
      <w:rFonts w:cstheme="majorBidi" w:eastAsiaTheme="majorEastAsia"/>
      <w:b/>
      <w:iCs/>
      <w:sz w:val="22"/>
      <w:szCs w:val="24"/>
      <w:lang w:eastAsia="en-US"/>
    </w:rPr>
  </w:style>
  <w:style w:styleId="Tittel" w:type="paragraph">
    <w:name w:val="Title"/>
    <w:next w:val="Normal"/>
    <w:link w:val="TittelTegn"/>
    <w:uiPriority w:val="6"/>
    <w:qFormat/>
    <w:rsid w:val="0089252A"/>
    <w:pPr>
      <w:pBdr>
        <w:bottom w:color="CC0033" w:space="4" w:sz="8" w:themeColor="accent1" w:val="single"/>
      </w:pBdr>
      <w:suppressAutoHyphens/>
      <w:spacing w:after="300"/>
      <w:contextualSpacing/>
    </w:pPr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customStyle="1" w:styleId="TittelTegn" w:type="character">
    <w:name w:val="Tittel Tegn"/>
    <w:basedOn w:val="Standardskriftforavsnitt"/>
    <w:link w:val="Tittel"/>
    <w:uiPriority w:val="6"/>
    <w:rsid w:val="0089252A"/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styleId="Undertittel" w:type="paragraph">
    <w:name w:val="Subtitle"/>
    <w:basedOn w:val="Normal"/>
    <w:next w:val="Normal"/>
    <w:link w:val="UndertittelTegn"/>
    <w:uiPriority w:val="7"/>
    <w:qFormat/>
    <w:rsid w:val="0089252A"/>
    <w:pPr>
      <w:numPr>
        <w:ilvl w:val="1"/>
      </w:numPr>
      <w:spacing w:before="120"/>
    </w:pPr>
    <w:rPr>
      <w:rFonts w:cstheme="majorBidi" w:eastAsiaTheme="majorEastAsia"/>
      <w:iCs/>
      <w:color w:themeColor="text1" w:val="666666"/>
      <w:spacing w:val="15"/>
      <w:sz w:val="24"/>
    </w:rPr>
  </w:style>
  <w:style w:customStyle="1" w:styleId="UndertittelTegn" w:type="character">
    <w:name w:val="Undertittel Tegn"/>
    <w:basedOn w:val="Standardskriftforavsnitt"/>
    <w:link w:val="Undertittel"/>
    <w:uiPriority w:val="7"/>
    <w:rsid w:val="0089252A"/>
    <w:rPr>
      <w:rFonts w:ascii="Arial" w:cstheme="majorBidi" w:eastAsiaTheme="majorEastAsia" w:hAnsi="Arial"/>
      <w:iCs/>
      <w:color w:themeColor="text1" w:val="666666"/>
      <w:spacing w:val="15"/>
      <w:sz w:val="24"/>
      <w:szCs w:val="24"/>
      <w:lang w:eastAsia="en-US"/>
    </w:rPr>
  </w:style>
  <w:style w:styleId="Utheving" w:type="character">
    <w:name w:val="Emphasis"/>
    <w:basedOn w:val="Standardskriftforavsnitt"/>
    <w:uiPriority w:val="20"/>
    <w:semiHidden/>
    <w:unhideWhenUsed/>
    <w:qFormat/>
    <w:rsid w:val="0089252A"/>
    <w:rPr>
      <w:i/>
      <w:iCs/>
    </w:rPr>
  </w:style>
  <w:style w:styleId="Ingenmellomrom" w:type="paragraph">
    <w:name w:val="No Spacing"/>
    <w:uiPriority w:val="10"/>
    <w:semiHidden/>
    <w:unhideWhenUsed/>
    <w:qFormat/>
    <w:rsid w:val="0089252A"/>
    <w:pPr>
      <w:suppressAutoHyphens/>
    </w:pPr>
    <w:rPr>
      <w:szCs w:val="24"/>
      <w:lang w:eastAsia="en-US"/>
    </w:rPr>
  </w:style>
  <w:style w:styleId="Listeavsnitt" w:type="paragraph">
    <w:name w:val="List Paragraph"/>
    <w:basedOn w:val="Normal"/>
    <w:uiPriority w:val="34"/>
    <w:unhideWhenUsed/>
    <w:qFormat/>
    <w:rsid w:val="0089252A"/>
    <w:pPr>
      <w:ind w:left="720"/>
      <w:contextualSpacing/>
    </w:pPr>
  </w:style>
  <w:style w:styleId="Sitat" w:type="paragraph">
    <w:name w:val="Quote"/>
    <w:basedOn w:val="Normal"/>
    <w:next w:val="Normal"/>
    <w:link w:val="SitatTegn"/>
    <w:uiPriority w:val="8"/>
    <w:qFormat/>
    <w:rsid w:val="0089252A"/>
    <w:pPr>
      <w:spacing w:before="60"/>
    </w:pPr>
    <w:rPr>
      <w:i/>
      <w:iCs/>
    </w:rPr>
  </w:style>
  <w:style w:customStyle="1" w:styleId="SitatTegn" w:type="character">
    <w:name w:val="Sitat Tegn"/>
    <w:basedOn w:val="Standardskriftforavsnitt"/>
    <w:link w:val="Sitat"/>
    <w:uiPriority w:val="8"/>
    <w:rsid w:val="0089252A"/>
    <w:rPr>
      <w:rFonts w:ascii="Arial" w:hAnsi="Arial"/>
      <w:i/>
      <w:iCs/>
      <w:szCs w:val="24"/>
      <w:lang w:eastAsia="en-US"/>
    </w:rPr>
  </w:style>
  <w:style w:styleId="Sterkutheving" w:type="character">
    <w:name w:val="Intense Emphasis"/>
    <w:basedOn w:val="Standardskriftforavsnitt"/>
    <w:uiPriority w:val="21"/>
    <w:semiHidden/>
    <w:unhideWhenUsed/>
    <w:qFormat/>
    <w:rsid w:val="0089252A"/>
    <w:rPr>
      <w:b/>
      <w:bCs/>
      <w:i/>
      <w:iCs/>
      <w:color w:themeColor="accent1" w:val="CC0033"/>
    </w:rPr>
  </w:style>
  <w:style w:customStyle="1" w:styleId="Punktmerking" w:type="paragraph">
    <w:name w:val="Punktmerking"/>
    <w:basedOn w:val="Normal"/>
    <w:link w:val="PunktmerkingTegn"/>
    <w:uiPriority w:val="5"/>
    <w:qFormat/>
    <w:rsid w:val="0089252A"/>
    <w:pPr>
      <w:numPr>
        <w:numId w:val="16"/>
      </w:numPr>
      <w:spacing w:before="60"/>
    </w:pPr>
  </w:style>
  <w:style w:customStyle="1" w:styleId="Nummerering" w:type="paragraph">
    <w:name w:val="Nummerering"/>
    <w:basedOn w:val="Normal"/>
    <w:link w:val="NummereringTegn"/>
    <w:uiPriority w:val="5"/>
    <w:qFormat/>
    <w:rsid w:val="0089252A"/>
    <w:pPr>
      <w:numPr>
        <w:numId w:val="17"/>
      </w:numPr>
      <w:spacing w:before="60"/>
    </w:pPr>
  </w:style>
  <w:style w:customStyle="1" w:styleId="PunktmerkingTegn" w:type="character">
    <w:name w:val="Punktmerking Tegn"/>
    <w:basedOn w:val="Standardskriftforavsnitt"/>
    <w:link w:val="Punktmerking"/>
    <w:uiPriority w:val="5"/>
    <w:rsid w:val="0089252A"/>
    <w:rPr>
      <w:szCs w:val="24"/>
      <w:lang w:eastAsia="en-US"/>
    </w:rPr>
  </w:style>
  <w:style w:customStyle="1" w:styleId="NummereringTegn" w:type="character">
    <w:name w:val="Nummerering Tegn"/>
    <w:basedOn w:val="PunktmerkingTegn"/>
    <w:link w:val="Nummerering"/>
    <w:uiPriority w:val="5"/>
    <w:rsid w:val="0089252A"/>
    <w:rPr>
      <w:szCs w:val="24"/>
      <w:lang w:eastAsia="en-US"/>
    </w:rPr>
  </w:style>
  <w:style w:customStyle="1" w:styleId="Overskrift7Tegn" w:type="character">
    <w:name w:val="Overskrift 7 Tegn"/>
    <w:basedOn w:val="Standardskriftforavsnitt"/>
    <w:link w:val="Overskrift7"/>
    <w:uiPriority w:val="4"/>
    <w:semiHidden/>
    <w:rsid w:val="00E77006"/>
    <w:rPr>
      <w:b/>
      <w:i/>
      <w:iCs/>
      <w:sz w:val="24"/>
      <w:szCs w:val="24"/>
      <w:lang w:eastAsia="en-US"/>
    </w:rPr>
  </w:style>
  <w:style w:customStyle="1" w:styleId="Overskrift4a" w:type="paragraph">
    <w:name w:val="Overskrift 4a"/>
    <w:basedOn w:val="Overskrift6"/>
    <w:next w:val="Normal"/>
    <w:uiPriority w:val="4"/>
    <w:qFormat/>
    <w:rsid w:val="007D6F47"/>
    <w:pPr>
      <w:numPr>
        <w:ilvl w:val="3"/>
      </w:numPr>
      <w:ind w:hanging="885" w:left="885"/>
    </w:pPr>
  </w:style>
  <w:style w:styleId="Tabellrutenett" w:type="table">
    <w:name w:val="Table Grid"/>
    <w:basedOn w:val="Vanligtabell"/>
    <w:uiPriority w:val="39"/>
    <w:rsid w:val="00017260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Overskriftforinnholdsfortegnelse" w:type="paragraph">
    <w:name w:val="TOC Heading"/>
    <w:basedOn w:val="Overskrift1"/>
    <w:next w:val="Normal"/>
    <w:uiPriority w:val="39"/>
    <w:unhideWhenUsed/>
    <w:qFormat/>
    <w:rsid w:val="007E3DDE"/>
    <w:pPr>
      <w:keepLines/>
      <w:suppressAutoHyphens w:val="0"/>
      <w:spacing w:after="0" w:line="259" w:lineRule="auto"/>
      <w:outlineLvl w:val="9"/>
    </w:pPr>
    <w:rPr>
      <w:rFonts w:asciiTheme="majorHAnsi" w:cstheme="majorBidi" w:eastAsiaTheme="majorEastAsia" w:hAnsiTheme="majorHAnsi"/>
      <w:b w:val="0"/>
      <w:caps w:val="0"/>
      <w:color w:themeColor="accent1" w:themeShade="BF" w:val="980025"/>
      <w:lang w:val="en-US"/>
    </w:rPr>
  </w:style>
  <w:style w:styleId="INNH2" w:type="paragraph">
    <w:name w:val="toc 2"/>
    <w:basedOn w:val="Normal"/>
    <w:next w:val="Normal"/>
    <w:autoRedefine/>
    <w:uiPriority w:val="39"/>
    <w:unhideWhenUsed/>
    <w:rsid w:val="00A1546F"/>
    <w:pPr>
      <w:spacing w:after="100"/>
      <w:ind w:left="200"/>
    </w:pPr>
  </w:style>
  <w:style w:styleId="Hyperkobling" w:type="character">
    <w:name w:val="Hyperlink"/>
    <w:basedOn w:val="Standardskriftforavsnitt"/>
    <w:uiPriority w:val="99"/>
    <w:unhideWhenUsed/>
    <w:rsid w:val="00A1546F"/>
    <w:rPr>
      <w:color w:themeColor="hyperlink" w:val="0099CC"/>
      <w:u w:val="single"/>
    </w:rPr>
  </w:style>
  <w:style w:styleId="INNH1" w:type="paragraph">
    <w:name w:val="toc 1"/>
    <w:basedOn w:val="Normal"/>
    <w:next w:val="Normal"/>
    <w:autoRedefine/>
    <w:uiPriority w:val="39"/>
    <w:unhideWhenUsed/>
    <w:rsid w:val="00D263CE"/>
    <w:pPr>
      <w:spacing w:after="100"/>
    </w:pPr>
  </w:style>
  <w:style w:styleId="NormalWeb" w:type="paragraph">
    <w:name w:val="Normal (Web)"/>
    <w:basedOn w:val="Normal"/>
    <w:uiPriority w:val="99"/>
    <w:semiHidden/>
    <w:unhideWhenUsed/>
    <w:rsid w:val="005A230F"/>
    <w:pPr>
      <w:suppressAutoHyphens w:val="0"/>
      <w:spacing w:after="100" w:afterAutospacing="1" w:before="100" w:beforeAutospacing="1"/>
    </w:pPr>
    <w:rPr>
      <w:rFonts w:ascii="Times New Roman" w:eastAsia="Times New Roman" w:hAnsi="Times New Roman"/>
      <w:sz w:val="24"/>
      <w:lang w:eastAsia="nb-NO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4863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52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14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840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123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2400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5235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67819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82379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69571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51802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23715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75865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501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1.xml" Type="http://schemas.openxmlformats.org/officeDocument/2006/relationships/header" /><Relationship Type="http://schemas.openxmlformats.org/officeDocument/2006/relationships/hyperlink" Id="rId20" Target="../api/v0/index.html#/operations/list_event" TargetMode="External" /><Relationship Type="http://schemas.openxmlformats.org/officeDocument/2006/relationships/hyperlink" Id="rId21" Target="../download/event.docx" TargetMode="External" /><Relationship Type="http://schemas.openxmlformats.org/officeDocument/2006/relationships/hyperlink" Id="rId40" Target="../technical/auth.md#party-market-actors" TargetMode="External" /><Relationship Type="http://schemas.openxmlformats.org/officeDocument/2006/relationships/hyperlink" Id="rId26" Target="../technical/auth.md#resource-level-authorization-rla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api/v0/index.html#/operations/list_event" TargetMode="External" /><Relationship Type="http://schemas.openxmlformats.org/officeDocument/2006/relationships/hyperlink" Id="rId21" Target="../download/event.docx" TargetMode="External" /><Relationship Type="http://schemas.openxmlformats.org/officeDocument/2006/relationships/hyperlink" Id="rId40" Target="../technical/auth.md#party-market-actors" TargetMode="External" /><Relationship Type="http://schemas.openxmlformats.org/officeDocument/2006/relationships/hyperlink" Id="rId26" Target="../technical/auth.md#resource-level-authorization-rla" TargetMode="External" 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https://statnett.sharepoint.com/sites/OfficeTemplates/Templates/Statnett%20Teknisk%20standard/Mal%20generell%20teknisk%20standard%20tospr&#229;klig.dotx" TargetMode="External"/></Relationships>
</file>

<file path=word/theme/theme1.xml><?xml version="1.0" encoding="utf-8"?>
<a:theme xmlns:a="http://schemas.openxmlformats.org/drawingml/2006/main" name="Statnett_1">
  <a:themeElements>
    <a:clrScheme name="Statnett_1">
      <a:dk1>
        <a:srgbClr val="666666"/>
      </a:dk1>
      <a:lt1>
        <a:srgbClr val="FFFFFF"/>
      </a:lt1>
      <a:dk2>
        <a:srgbClr val="0099CC"/>
      </a:dk2>
      <a:lt2>
        <a:srgbClr val="7DB8CE"/>
      </a:lt2>
      <a:accent1>
        <a:srgbClr val="CC0033"/>
      </a:accent1>
      <a:accent2>
        <a:srgbClr val="666666"/>
      </a:accent2>
      <a:accent3>
        <a:srgbClr val="F26639"/>
      </a:accent3>
      <a:accent4>
        <a:srgbClr val="B2AA7E"/>
      </a:accent4>
      <a:accent5>
        <a:srgbClr val="EFE5C4"/>
      </a:accent5>
      <a:accent6>
        <a:srgbClr val="999936"/>
      </a:accent6>
      <a:hlink>
        <a:srgbClr val="0099CC"/>
      </a:hlink>
      <a:folHlink>
        <a:srgbClr val="7DB8CE"/>
      </a:folHlink>
    </a:clrScheme>
    <a:fontScheme name="Statnett_1">
      <a:majorFont>
        <a:latin typeface="Times New Roman"/>
        <a:ea typeface="ヒラギノ角ゴ Pro W3"/>
        <a:cs typeface=""/>
      </a:majorFont>
      <a:minorFont>
        <a:latin typeface="Arial"/>
        <a:ea typeface="ヒラギノ角ゴ Pro W3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spDef>
    <a:ln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lnDef>
  </a:objectDefaults>
  <a:extraClrSchemeLst>
    <a:extraClrScheme>
      <a:clrScheme name="Statnett powerpoint mal 1">
        <a:dk1>
          <a:srgbClr val="000000"/>
        </a:dk1>
        <a:lt1>
          <a:srgbClr val="FFFFFF"/>
        </a:lt1>
        <a:dk2>
          <a:srgbClr val="000000"/>
        </a:dk2>
        <a:lt2>
          <a:srgbClr val="808080"/>
        </a:lt2>
        <a:accent1>
          <a:srgbClr val="BBE0E3"/>
        </a:accent1>
        <a:accent2>
          <a:srgbClr val="333399"/>
        </a:accent2>
        <a:accent3>
          <a:srgbClr val="FFFFFF"/>
        </a:accent3>
        <a:accent4>
          <a:srgbClr val="000000"/>
        </a:accent4>
        <a:accent5>
          <a:srgbClr val="DAEDEF"/>
        </a:accent5>
        <a:accent6>
          <a:srgbClr val="2D2D8A"/>
        </a:accent6>
        <a:hlink>
          <a:srgbClr val="009999"/>
        </a:hlink>
        <a:folHlink>
          <a:srgbClr val="99CC00"/>
        </a:folHlink>
      </a:clrScheme>
      <a:clrMap bg1="lt1" tx1="dk1" bg2="lt2" tx2="dk2" accent1="accent1" accent2="accent2" accent3="accent3" accent4="accent4" accent5="accent5" accent6="accent6" hlink="hlink" folHlink="folHlink"/>
    </a:extraClrScheme>
  </a:extraClrSchemeLst>
</a:theme>
</file>

<file path=docProps/app.xml><?xml version="1.0" encoding="utf-8"?>
<Properties xmlns="http://schemas.openxmlformats.org/officeDocument/2006/extended-properties" xmlns:vt="http://schemas.openxmlformats.org/officeDocument/2006/docPropsVTypes">
  <Template>Mal%20generell%20teknisk%20standard%20tospråklig.dotx</Template>
  <TotalTime>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4" baseType="variant">
      <vt:variant>
        <vt:lpstr>Tittel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Mal generell teknisk standard tospråklig</vt:lpstr>
      <vt:lpstr>Mal generell teknisk standard tospråklig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2025-12-11T12:37:32Z</dcterms:created>
  <dcterms:modified xsi:type="dcterms:W3CDTF">2025-12-11T12:37:32Z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