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must</w:t>
      </w:r>
      <w:r>
        <w:t xml:space="preserve"> </w:t>
      </w:r>
      <w:r>
        <w:t xml:space="preserve">quickly take over and choose whether the group needs a full prequalification or</w:t>
      </w:r>
      <w:r>
        <w:t xml:space="preserve"> </w:t>
      </w:r>
      <w:r>
        <w:t xml:space="preserve">only verification, by setting the status to either</w:t>
      </w:r>
      <w:r>
        <w:t xml:space="preserve"> </w:t>
      </w:r>
      <w:r>
        <w:rPr>
          <w:rStyle w:val="VerbatimChar"/>
        </w:rPr>
        <w:t xml:space="preserve">prequalification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temporary_qualified</w:t>
      </w:r>
      <w:r>
        <w:t xml:space="preserve">. They are responsible for taking to application to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 is rejected, the service</w:t>
      </w:r>
      <w:r>
        <w:t xml:space="preserve"> </w:t>
      </w:r>
      <w:r>
        <w:t xml:space="preserve">provider can then make updates and propose the application again.</w:t>
      </w:r>
    </w:p>
    <w:p>
      <w:pPr>
        <w:pStyle w:val="BodyText"/>
      </w:pPr>
      <w:r>
        <w:t xml:space="preserve">The system will regularly check automatically whether SPG grid prequalification</w:t>
      </w:r>
      <w:r>
        <w:t xml:space="preserve"> </w:t>
      </w:r>
      <w:r>
        <w:t xml:space="preserve">resources need to be created for each impacted system operator, and any status</w:t>
      </w:r>
      <w:r>
        <w:t xml:space="preserve"> </w:t>
      </w:r>
      <w:r>
        <w:t xml:space="preserve">change from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 </w:t>
      </w:r>
      <w:r>
        <w:t xml:space="preserve">will trigger this check as well.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5"/>
        <w:gridCol w:w="2033"/>
        <w:gridCol w:w="2483"/>
        <w:gridCol w:w="12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up.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down.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application if needed (bidding periods, unavailabilities, etc).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by the SO or have an ongoing qualification for all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SPGPA-SO003</w:t>
            </w:r>
          </w:p>
        </w:tc>
        <w:tc>
          <w:tcPr/>
          <w:p>
            <w:pPr>
              <w:pStyle w:val="Compact"/>
            </w:pPr>
            <w:r>
              <w:t xml:space="preserve">Read SPGPA for SPGs on which they have a grid prequalification.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433"/>
        <w:gridCol w:w="542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2026-06-15T07:46:59Z</dcterms:created>
  <dcterms:modified xsi:type="dcterms:W3CDTF">2026-06-15T07:46:59Z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