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-end-user"/>
    <w:p>
      <w:pPr>
        <w:pStyle w:val="Overskrift1"/>
      </w:pPr>
      <w:r>
        <w:t xml:space="preserve">Accounting Point End User</w:t>
      </w:r>
    </w:p>
    <w:p>
      <w:pPr>
        <w:pStyle w:val="FirstParagraph"/>
      </w:pPr>
      <w:r>
        <w:t xml:space="preserve">Relation telling which end user an accounting point belongs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7"/>
        <w:gridCol w:w="3043"/>
        <w:gridCol w:w="704"/>
        <w:gridCol w:w="1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  <w:r>
              <w:t xml:space="preserve">The end user on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end user.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end user.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APEU-FISO001</w:t>
            </w:r>
          </w:p>
        </w:tc>
        <w:tc>
          <w:tcPr/>
          <w:p>
            <w:pPr>
              <w:pStyle w:val="Compact"/>
            </w:pPr>
            <w:r>
              <w:t xml:space="preserve">Read all APEU.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end_user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end_user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end_user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end_user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2026-05-13T07:30:29Z</dcterms:created>
  <dcterms:modified xsi:type="dcterms:W3CDTF">2026-05-13T07:30:29Z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