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event"/>
    <w:p>
      <w:pPr>
        <w:pStyle w:val="Overskrift1"/>
      </w:pPr>
      <w:r>
        <w:t xml:space="preserve">Event</w:t>
      </w:r>
    </w:p>
    <w:p>
      <w:pPr>
        <w:pStyle w:val="FirstParagraph"/>
      </w:pPr>
      <w:r>
        <w:t xml:space="preserve">An event happening in the system.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3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88"/>
        <w:gridCol w:w="2069"/>
        <w:gridCol w:w="3900"/>
        <w:gridCol w:w="2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specversion</w:t>
            </w:r>
          </w:p>
        </w:tc>
        <w:tc>
          <w:tcPr/>
          <w:p>
            <w:pPr>
              <w:pStyle w:val="Compact"/>
            </w:pPr>
            <w:r>
              <w:t xml:space="preserve">The version of the CloudEvents specification followed by the resource.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The time at which the event was generated.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^no.elhub.flex.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The URI of the resource concerned by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^(\/([a-z][a-z_]*\|[0-9]+))+$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The URI of the specific subject of the event within the resource pointed by</w:t>
            </w:r>
            <w:r>
              <w:t xml:space="preserve"> </w:t>
            </w:r>
            <w:r>
              <w:rPr>
                <w:rStyle w:val="VerbatimChar"/>
              </w:rPr>
              <w:t xml:space="preserve">source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  <w:r>
              <w:t xml:space="preserve">Used in cases where an event happens on a subresource, but we still want to consider it as an event on the main resource, for clarity.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The data of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4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4"/>
    <w:bookmarkStart w:id="25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5"/>
    <w:bookmarkStart w:id="41" w:name="authorization"/>
    <w:p>
      <w:pPr>
        <w:pStyle w:val="Overskrift2"/>
      </w:pPr>
      <w:r>
        <w:t xml:space="preserve">Authorization</w:t>
      </w:r>
    </w:p>
    <w:bookmarkStart w:id="38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6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7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7"/>
    <w:bookmarkStart w:id="28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8"/>
    <w:bookmarkStart w:id="29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76"/>
        <w:gridCol w:w="6228"/>
        <w:gridCol w:w="6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EVENT-COM001</w:t>
            </w:r>
          </w:p>
        </w:tc>
        <w:tc>
          <w:tcPr/>
          <w:p>
            <w:pPr>
              <w:pStyle w:val="Compact"/>
            </w:pPr>
            <w:r>
              <w:t xml:space="preserve">Read events related to a resource that they could read when the event happened.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9"/>
    <w:bookmarkStart w:id="30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0"/>
    <w:bookmarkStart w:id="31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7"/>
        <w:gridCol w:w="6131"/>
        <w:gridCol w:w="68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EVENT-EU001</w:t>
            </w:r>
          </w:p>
        </w:tc>
        <w:tc>
          <w:tcPr/>
          <w:p>
            <w:pPr>
              <w:pStyle w:val="Compact"/>
            </w:pPr>
            <w:r>
              <w:t xml:space="preserve">Read events related to controllable units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EVENT-EU002</w:t>
            </w:r>
          </w:p>
        </w:tc>
        <w:tc>
          <w:tcPr/>
          <w:p>
            <w:pPr>
              <w:pStyle w:val="Compact"/>
            </w:pPr>
            <w:r>
              <w:t xml:space="preserve">Read events related to CUSP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EVENT-EU003</w:t>
            </w:r>
          </w:p>
        </w:tc>
        <w:tc>
          <w:tcPr/>
          <w:p>
            <w:pPr>
              <w:pStyle w:val="Compact"/>
            </w:pPr>
            <w:r>
              <w:t xml:space="preserve">Read events related to technical resources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2"/>
    <w:bookmarkStart w:id="33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EVENT-FISO001</w:t>
            </w:r>
          </w:p>
        </w:tc>
        <w:tc>
          <w:tcPr/>
          <w:p>
            <w:pPr>
              <w:pStyle w:val="Compact"/>
            </w:pPr>
            <w:r>
              <w:t xml:space="preserve">Read all events.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3"/>
    <w:bookmarkStart w:id="34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4"/>
    <w:bookmarkStart w:id="35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6"/>
    <w:bookmarkStart w:id="37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7"/>
    <w:bookmarkEnd w:id="38"/>
    <w:bookmarkStart w:id="40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39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specversion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0"/>
    <w:bookmarkEnd w:id="41"/>
    <w:bookmarkEnd w:id="42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event" TargetMode="External" /><Relationship Type="http://schemas.openxmlformats.org/officeDocument/2006/relationships/hyperlink" Id="rId39" Target="../auth/authn-model.md#party-market-actors" TargetMode="External" /><Relationship Type="http://schemas.openxmlformats.org/officeDocument/2006/relationships/hyperlink" Id="rId26" Target="../auth/authz-model.md#resource-level-authorization-rla" TargetMode="External" /><Relationship Type="http://schemas.openxmlformats.org/officeDocument/2006/relationships/hyperlink" Id="rId21" Target="../download/event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event" TargetMode="External" /><Relationship Type="http://schemas.openxmlformats.org/officeDocument/2006/relationships/hyperlink" Id="rId39" Target="../auth/authn-model.md#party-market-actors" TargetMode="External" /><Relationship Type="http://schemas.openxmlformats.org/officeDocument/2006/relationships/hyperlink" Id="rId26" Target="../auth/authz-model.md#resource-level-authorization-rla" TargetMode="External" /><Relationship Type="http://schemas.openxmlformats.org/officeDocument/2006/relationships/hyperlink" Id="rId21" Target="../download/event.docx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2026-05-13T07:30:28Z</dcterms:created>
  <dcterms:modified xsi:type="dcterms:W3CDTF">2026-05-13T07:30:28Z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