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46"/>
        <w:gridCol w:w="2505"/>
        <w:gridCol w:w="1608"/>
        <w:gridCol w:w="9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Geographic location of the accounting point (WGS84), as a GeoJSON point object.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AP-BRP001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currently BRP.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AP-FISO001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AP-SO001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CSO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AP-SO002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ISO.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AP-SO003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PSO.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6034"/>
        <w:gridCol w:w="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AP-SP001</w:t>
            </w:r>
          </w:p>
        </w:tc>
        <w:tc>
          <w:tcPr/>
          <w:p>
            <w:pPr>
              <w:pStyle w:val="Compact"/>
            </w:pPr>
            <w:r>
              <w:t xml:space="preserve">Read accounting points where they are or have been SP on a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766"/>
        <w:gridCol w:w="638"/>
        <w:gridCol w:w="510"/>
        <w:gridCol w:w="510"/>
        <w:gridCol w:w="766"/>
        <w:gridCol w:w="510"/>
        <w:gridCol w:w="510"/>
        <w:gridCol w:w="510"/>
        <w:gridCol w:w="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accounting_point" TargetMode="External" /><Relationship Type="http://schemas.openxmlformats.org/officeDocument/2006/relationships/hyperlink" Id="rId41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2026-09-09T11:52:54Z</dcterms:created>
  <dcterms:modified xsi:type="dcterms:W3CDTF">2026-09-09T11:52:54Z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