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3155"/>
        <w:gridCol w:w="837"/>
        <w:gridCol w:w="14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0"/>
        <w:gridCol w:w="6559"/>
        <w:gridCol w:w="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SPGM-VAL003</w:t>
            </w:r>
          </w:p>
        </w:tc>
        <w:tc>
          <w:tcPr/>
          <w:p>
            <w:pPr>
              <w:pStyle w:val="Compact"/>
            </w:pPr>
            <w:r>
              <w:t xml:space="preserve">The flexible power of the controllable unit must not exceed 100% of the combined maximum active power of all its technical resources.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active before it can be added to a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2026-09-09T11:52:54Z</dcterms:created>
  <dcterms:modified xsi:type="dcterms:W3CDTF">2026-09-09T11:52:54Z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