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2265"/>
        <w:gridCol w:w="238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Whether the service providing group can ramp in accordance with the product requirements during both activation and deactivation.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Frequency Restoration (mFRR).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SPGPA-VAL010</w:t>
            </w:r>
          </w:p>
        </w:tc>
        <w:tc>
          <w:tcPr/>
          <w:p>
            <w:pPr>
              <w:pStyle w:val="Compact"/>
            </w:pPr>
            <w:r>
              <w:t xml:space="preserve">Product types can be applied for only once per SPG and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1"/>
        <w:gridCol w:w="6705"/>
        <w:gridCol w:w="4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 set from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2026-09-09T11:52:52Z</dcterms:created>
  <dcterms:modified xsi:type="dcterms:W3CDTF">2026-09-09T11:52:52Z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